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5.png" ContentType="image/png"/>
  <Override PartName="/word/media/rId168.png" ContentType="image/png"/>
  <Override PartName="/word/media/rId158.png" ContentType="image/png"/>
  <Override PartName="/word/media/rId161.png" ContentType="image/png"/>
  <Override PartName="/word/media/rId49.png" ContentType="image/png"/>
  <Override PartName="/word/media/rId69.eps" ContentType="application/eps"/>
  <Override PartName="/word/media/rId192.png" ContentType="image/png"/>
  <Override PartName="/word/media/rId77.png" ContentType="image/png"/>
  <Override PartName="/word/media/rId84.png" ContentType="image/png"/>
  <Override PartName="/word/media/rId150.png" ContentType="image/png"/>
  <Override PartName="/word/media/rId80.eps" ContentType="application/eps"/>
  <Override PartName="/word/media/rId139.png" ContentType="image/png"/>
  <Override PartName="/word/media/rId110.png" ContentType="image/png"/>
  <Override PartName="/word/media/rId73.eps" ContentType="application/eps"/>
  <Override PartName="/word/media/rId143.png" ContentType="image/png"/>
  <Override PartName="/word/media/rId57.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May  1,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3" w:name="acknowledgements"/>
    <w:p>
      <w:pPr>
        <w:pStyle w:val="Heading1"/>
      </w:pPr>
      <w:r>
        <w:t xml:space="preserve">Acknowledgements</w:t>
      </w:r>
    </w:p>
    <w:bookmarkStart w:id="21" w:name="first-paper"/>
    <w:p>
      <w:pPr>
        <w:pStyle w:val="Heading2"/>
      </w:pPr>
      <w:r>
        <w:rPr>
          <w:rStyle w:val="SectionNumber"/>
        </w:rPr>
        <w:t xml:space="preserve">0.1</w:t>
      </w:r>
      <w:r>
        <w:tab/>
      </w: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rPr>
          <w:rStyle w:val="SectionNumber"/>
        </w:rPr>
        <w:t xml:space="preserve">0.2</w:t>
      </w:r>
      <w:r>
        <w:tab/>
      </w: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r>
        <w:t xml:space="preserve"> </w:t>
      </w:r>
    </w:p>
    <w:bookmarkEnd w:id="22"/>
    <w:bookmarkEnd w:id="23"/>
    <w:p>
      <w:pPr>
        <w:pStyle w:val="Heading1"/>
      </w:pPr>
      <w:r>
        <w:rPr>
          <w:rStyle w:val="SectionNumber"/>
        </w:rPr>
        <w:t xml:space="preserve">1</w:t>
      </w:r>
      <w:r>
        <w:tab/>
      </w:r>
      <w:r>
        <w:t xml:space="preserve">List of Figures</w:t>
      </w:r>
    </w:p>
    <w:p>
      <w:pPr>
        <w:pStyle w:val="FirstParagraph"/>
      </w:pPr>
      <w:r>
        <w:t xml:space="preserve">1.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8.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9.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9 (a).</w:t>
      </w:r>
      <w:r>
        <w:br/>
      </w:r>
    </w:p>
    <w:p>
      <w:pPr>
        <w:pStyle w:val="BodyText"/>
      </w:pPr>
      <w:r>
        <w:t xml:space="preserve">9 (b).</w:t>
      </w:r>
      <w:r>
        <w:br/>
      </w:r>
    </w:p>
    <w:p>
      <w:pPr>
        <w:pStyle w:val="BodyText"/>
      </w:pPr>
      <w:r>
        <w:t xml:space="preserve">10. Process flow for modelling available reserves and footroom for each scenario in this case study.</w:t>
      </w:r>
      <w:r>
        <w:br/>
      </w:r>
    </w:p>
    <w:p>
      <w:pPr>
        <w:pStyle w:val="BodyText"/>
      </w:pPr>
      <w:r>
        <w:t xml:space="preserve">11. Mean (top row) and bottom 1% (bottom row) SDPs for available reserves in NSW in 2020 (leftmost column) and the two 2025 scenarios (rightmost columns).</w:t>
      </w:r>
      <w:r>
        <w:br/>
      </w:r>
    </w:p>
    <w:p>
      <w:pPr>
        <w:pStyle w:val="BodyText"/>
      </w:pPr>
      <w:r>
        <w:t xml:space="preserve">12. Mean (top row) and bottom 1% (bottom row) SDPs for available reserves in SA in 2020 (leftmost column) and the two 2025 scenarios (rightmost columns).</w:t>
      </w:r>
      <w:r>
        <w:br/>
      </w:r>
    </w:p>
    <w:p>
      <w:pPr>
        <w:pStyle w:val="BodyText"/>
      </w:pPr>
      <w:r>
        <w:t xml:space="preserve">13.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14.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15.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Offers by resources type for NSW and SA across all scenarios. The market floor and cap prices used were -1000 AUD/MW/hr and 15,000 AUD/MW/hr, respectively.</w:t>
      </w:r>
      <w:r>
        <w:br/>
      </w:r>
    </w:p>
    <w:p>
      <w:pPr>
        <w:pStyle w:val="BodyText"/>
      </w:pPr>
      <w:r>
        <w:t xml:space="preserve">3. 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4. 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br/>
      </w:r>
    </w:p>
    <w:bookmarkStart w:id="24" w:name="abbreviations-and-nomenclature"/>
    <w:p>
      <w:pPr>
        <w:pStyle w:val="Heading1"/>
      </w:pPr>
      <w:r>
        <w:t xml:space="preserve">Abbreviations and Nomenclature</w:t>
      </w:r>
    </w:p>
    <w:bookmarkEnd w:id="24"/>
    <w:bookmarkStart w:id="27" w:name="sec:intro"/>
    <w:p>
      <w:pPr>
        <w:pStyle w:val="Heading1"/>
      </w:pPr>
      <w:r>
        <w:rPr>
          <w:rStyle w:val="SectionNumber"/>
        </w:rPr>
        <w:t xml:space="preserve">3</w:t>
      </w:r>
      <w:r>
        <w:tab/>
      </w:r>
      <w:r>
        <w:t xml:space="preserve">Introduction, with a citation</w:t>
      </w:r>
    </w:p>
    <w:bookmarkStart w:id="25"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5"/>
    <w:bookmarkStart w:id="26"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3 is the FCAS paper. Section 4 shows how to use, reference, and resize pdf and jpg figures. Section 5 shows how to use and reference tables. Section 6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6"/>
    <w:bookmarkEnd w:id="27"/>
    <w:bookmarkStart w:id="34" w:name="sec:lit_review"/>
    <w:p>
      <w:pPr>
        <w:pStyle w:val="Heading1"/>
      </w:pPr>
      <w:r>
        <w:rPr>
          <w:rStyle w:val="SectionNumber"/>
        </w:rPr>
        <w:t xml:space="preserve">4</w:t>
      </w:r>
      <w:r>
        <w:tab/>
      </w:r>
      <w:r>
        <w:t xml:space="preserve">Literature review</w:t>
      </w:r>
    </w:p>
    <w:bookmarkStart w:id="28" w:name="introduction"/>
    <w:p>
      <w:pPr>
        <w:pStyle w:val="Heading2"/>
      </w:pPr>
      <w:r>
        <w:rPr>
          <w:rStyle w:val="SectionNumber"/>
        </w:rPr>
        <w:t xml:space="preserve">4.1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8"/>
    <w:bookmarkStart w:id="30" w:name="the-middle"/>
    <w:p>
      <w:pPr>
        <w:pStyle w:val="Heading2"/>
      </w:pPr>
      <w:r>
        <w:rPr>
          <w:rStyle w:val="SectionNumber"/>
        </w:rPr>
        <w:t xml:space="preserve">4.2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29" w:name="eq:my_equation"/>
      <m:oMathPara>
        <m:oMathParaPr>
          <m:jc m:val="center"/>
        </m:oMathParaPr>
        <m:oMath>
          <m:r>
            <m:t>f</m:t>
          </m:r>
          <m:d>
            <m:dPr>
              <m:begChr m:val="("/>
              <m:endChr m:val=")"/>
              <m:sepChr m:val=""/>
              <m:grow/>
            </m:dPr>
            <m:e>
              <m:r>
                <m:t>x</m:t>
              </m:r>
            </m:e>
          </m:d>
          <m:r>
            <m:rPr>
              <m:sty m:val="p"/>
            </m:rPr>
            <m:t>=</m:t>
          </m:r>
          <m:r>
            <m:t>a</m:t>
          </m:r>
          <m:sSup>
            <m:e>
              <m:r>
                <m:t>x</m:t>
              </m:r>
            </m:e>
            <m:sup>
              <m:r>
                <m:t>3</m:t>
              </m:r>
            </m:sup>
          </m:sSup>
          <m:r>
            <m:rPr>
              <m:sty m:val="p"/>
            </m:rPr>
            <m:t>+</m:t>
          </m:r>
          <m:r>
            <m:t>b</m:t>
          </m:r>
          <m:sSup>
            <m:e>
              <m:r>
                <m:t>x</m:t>
              </m:r>
            </m:e>
            <m:sup>
              <m:r>
                <m:t>2</m:t>
              </m:r>
            </m:sup>
          </m:sSup>
          <m:r>
            <m:rPr>
              <m:sty m:val="p"/>
            </m:rPr>
            <m:t>+</m:t>
          </m:r>
          <m:r>
            <m:t>c</m:t>
          </m:r>
          <m:r>
            <m:t>x</m:t>
          </m:r>
          <m:r>
            <m:rPr>
              <m:sty m:val="p"/>
            </m:rPr>
            <m:t>+</m:t>
          </m:r>
          <m:r>
            <m:t>d</m:t>
          </m:r>
          <m:r>
            <m:t>  </m:t>
          </m:r>
          <m:d>
            <m:dPr>
              <m:begChr m:val="("/>
              <m:endChr m:val=")"/>
              <m:sepChr m:val=""/>
              <m:grow/>
            </m:dPr>
            <m:e>
              <m:r>
                <m:t>1</m:t>
              </m:r>
            </m:e>
          </m:d>
        </m:oMath>
      </m:oMathPara>
      <w:bookmarkEnd w:id="29"/>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 1 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0"/>
    <w:bookmarkStart w:id="32" w:name="a-complicated-math-equation"/>
    <w:p>
      <w:pPr>
        <w:pStyle w:val="Heading2"/>
      </w:pPr>
      <w:r>
        <w:rPr>
          <w:rStyle w:val="SectionNumber"/>
        </w:rPr>
        <w:t xml:space="preserve">4.3</w:t>
      </w:r>
      <w:r>
        <w:tab/>
      </w:r>
      <w:r>
        <w:t xml:space="preserve">A complicated math equation</w:t>
      </w:r>
    </w:p>
    <w:p>
      <w:pPr>
        <w:pStyle w:val="FirstParagraph"/>
      </w:pPr>
      <w:r>
        <w:t xml:space="preserve">The following raw text in markdown behind Equation 2 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31" w:name="eq:my_complicated_equation"/>
      <w:r>
        <w:t xml:space="preserve">$$
\begin{aligned}
    \hat{\theta}_g = \argmin_{\theta_g} \Big\{ - &amp;\sum^{N}_{n=1}\Big( 1-\mathbb{1}[f(\pmb x^{(n)})]\Big)\log f\Big(\pmb x^{(n)} \\
    &amp;+ g(\pmb x^{(n)};\theta_g)\Big) + \lambda|g(\pmb x^{(n)};\theta_g)|_2 \Big\} \ ,
\end{aligned}
\qquad{(2)}$$</w:t>
      </w:r>
      <w:bookmarkEnd w:id="31"/>
    </w:p>
    <w:bookmarkEnd w:id="32"/>
    <w:bookmarkStart w:id="33" w:name="conclusion"/>
    <w:p>
      <w:pPr>
        <w:pStyle w:val="Heading2"/>
      </w:pPr>
      <w:r>
        <w:rPr>
          <w:rStyle w:val="SectionNumber"/>
        </w:rPr>
        <w:t xml:space="preserve">4.4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bookmarkEnd w:id="33"/>
    <w:bookmarkEnd w:id="34"/>
    <w:bookmarkStart w:id="91" w:name="sec:fcs"/>
    <w:p>
      <w:pPr>
        <w:pStyle w:val="Heading1"/>
      </w:pPr>
      <w:r>
        <w:rPr>
          <w:rStyle w:val="SectionNumber"/>
        </w:rPr>
        <w:t xml:space="preserve">5</w:t>
      </w:r>
      <w:r>
        <w:tab/>
      </w:r>
      <w:r>
        <w:t xml:space="preserve">Frequency control arrangements: insights from the National Electricity Market</w:t>
      </w:r>
    </w:p>
    <w:bookmarkStart w:id="35" w:name="link-to-thesis"/>
    <w:p>
      <w:pPr>
        <w:pStyle w:val="Heading2"/>
      </w:pPr>
      <w:r>
        <w:rPr>
          <w:rStyle w:val="SectionNumber"/>
        </w:rPr>
        <w:t xml:space="preserve">5.1</w:t>
      </w:r>
      <w:r>
        <w:tab/>
      </w:r>
      <w:r>
        <w:t xml:space="preserve">Link to thesis</w:t>
      </w:r>
    </w:p>
    <w:p>
      <w:pPr>
        <w:pStyle w:val="FirstParagraph"/>
      </w:pPr>
      <w:r>
        <w:t xml:space="preserve">This para will link this chapter (paper) to the broader thesis.</w:t>
      </w:r>
    </w:p>
    <w:bookmarkEnd w:id="35"/>
    <w:bookmarkStart w:id="36" w:name="abstract-1"/>
    <w:p>
      <w:pPr>
        <w:pStyle w:val="Heading2"/>
      </w:pPr>
      <w:r>
        <w:rPr>
          <w:rStyle w:val="SectionNumber"/>
        </w:rPr>
        <w:t xml:space="preserve">5.2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36"/>
    <w:bookmarkStart w:id="38" w:name="sec:fcs-intro"/>
    <w:p>
      <w:pPr>
        <w:pStyle w:val="Heading2"/>
      </w:pPr>
      <w:r>
        <w:rPr>
          <w:rStyle w:val="SectionNumber"/>
        </w:rPr>
        <w:t xml:space="preserve">5.3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37"/>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2"/>
        </w:numPr>
      </w:pPr>
      <w:r>
        <w:t xml:space="preserve">Mandate or incentivise participant behaviour in the energy market that facilitates system balancing. This includes enforcing dispatch compliance or penalising participant portfolio imbalances; and</w:t>
      </w:r>
    </w:p>
    <w:p>
      <w:pPr>
        <w:numPr>
          <w:ilvl w:val="0"/>
          <w:numId w:val="1002"/>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3"/>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3"/>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3.4,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3.6. In Section 3.7, we analyse the performance of the NEM’s frequency control arrangements in responding to the challenges explored in Section 3.4,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38"/>
    <w:bookmarkStart w:id="44" w:name="sec:fcs-context"/>
    <w:p>
      <w:pPr>
        <w:pStyle w:val="Heading2"/>
      </w:pPr>
      <w:r>
        <w:rPr>
          <w:rStyle w:val="SectionNumber"/>
        </w:rPr>
        <w:t xml:space="preserve">5.4</w:t>
      </w:r>
      <w:r>
        <w:tab/>
      </w:r>
      <w:r>
        <w:t xml:space="preserve">Context</w:t>
      </w:r>
    </w:p>
    <w:bookmarkStart w:id="39" w:name="conventional-frequency-control-schemes"/>
    <w:p>
      <w:pPr>
        <w:pStyle w:val="Heading3"/>
      </w:pPr>
      <w:r>
        <w:rPr>
          <w:rStyle w:val="SectionNumber"/>
        </w:rPr>
        <w:t xml:space="preserve">5.4.1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39"/>
    <w:bookmarkStart w:id="41" w:name="Xc82674c6760c115599413c45308acdf9ca7a6e4"/>
    <w:p>
      <w:pPr>
        <w:pStyle w:val="Heading3"/>
      </w:pPr>
      <w:r>
        <w:rPr>
          <w:rStyle w:val="SectionNumber"/>
        </w:rPr>
        <w:t xml:space="preserve">5.4.2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3.4.3 &amp; Section 3.4.4, we provide an overview of typical features</w:t>
      </w:r>
      <w:r>
        <w:rPr>
          <w:rStyle w:val="FootnoteReference"/>
        </w:rPr>
        <w:footnoteReference w:id="40"/>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41"/>
    <w:bookmarkStart w:id="42" w:name="sec:fcs-NA"/>
    <w:p>
      <w:pPr>
        <w:pStyle w:val="Heading3"/>
      </w:pPr>
      <w:r>
        <w:rPr>
          <w:rStyle w:val="SectionNumber"/>
        </w:rPr>
        <w:t xml:space="preserve">5.4.3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42"/>
    <w:bookmarkStart w:id="43" w:name="sec:fcs-EU"/>
    <w:p>
      <w:pPr>
        <w:pStyle w:val="Heading3"/>
      </w:pPr>
      <w:r>
        <w:rPr>
          <w:rStyle w:val="SectionNumber"/>
        </w:rPr>
        <w:t xml:space="preserve">5.4.4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43"/>
    <w:bookmarkEnd w:id="44"/>
    <w:bookmarkStart w:id="48" w:name="designing-frequency-control-arrangements"/>
    <w:p>
      <w:pPr>
        <w:pStyle w:val="Heading2"/>
      </w:pPr>
      <w:r>
        <w:rPr>
          <w:rStyle w:val="SectionNumber"/>
        </w:rPr>
        <w:t xml:space="preserve">5.5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4"/>
        </w:numPr>
      </w:pPr>
      <w:r>
        <w:t xml:space="preserve">FCS procurement;</w:t>
      </w:r>
    </w:p>
    <w:p>
      <w:pPr>
        <w:numPr>
          <w:ilvl w:val="0"/>
          <w:numId w:val="1004"/>
        </w:numPr>
      </w:pPr>
      <w:r>
        <w:t xml:space="preserve">Price formation, which when efficient should lead to FCS prices not only reflecting the true cost of the service, but also its true value to the system; and</w:t>
      </w:r>
    </w:p>
    <w:p>
      <w:pPr>
        <w:numPr>
          <w:ilvl w:val="0"/>
          <w:numId w:val="1004"/>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3.5.1 &amp; Section 3.5.2, we present the most prominent challenges and their treatment in the literature.</w:t>
      </w:r>
    </w:p>
    <w:bookmarkStart w:id="46" w:name="sec:fcs-ibr-challenges"/>
    <w:p>
      <w:pPr>
        <w:pStyle w:val="Heading3"/>
      </w:pPr>
      <w:r>
        <w:rPr>
          <w:rStyle w:val="SectionNumber"/>
        </w:rPr>
        <w:t xml:space="preserve">5.5.1</w:t>
      </w:r>
      <w:r>
        <w:tab/>
      </w:r>
      <w:r>
        <w:t xml:space="preserve">The influx of VRE and other IBR in power systems</w:t>
      </w:r>
    </w:p>
    <w:p>
      <w:pPr>
        <w:pStyle w:val="FirstParagraph"/>
      </w:pPr>
      <w:r>
        <w:t xml:space="preserve">As discussed in Section 3.3,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4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46"/>
    <w:bookmarkStart w:id="47" w:name="sec:fcs-efficiency-challenges"/>
    <w:p>
      <w:pPr>
        <w:pStyle w:val="Heading3"/>
      </w:pPr>
      <w:r>
        <w:rPr>
          <w:rStyle w:val="SectionNumber"/>
        </w:rPr>
        <w:t xml:space="preserve">5.5.2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3.3,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47"/>
    <w:bookmarkEnd w:id="48"/>
    <w:bookmarkStart w:id="66" w:name="sec:fcs-nem"/>
    <w:p>
      <w:pPr>
        <w:pStyle w:val="Heading2"/>
      </w:pPr>
      <w:r>
        <w:rPr>
          <w:rStyle w:val="SectionNumber"/>
        </w:rPr>
        <w:t xml:space="preserve">5.6</w:t>
      </w:r>
      <w:r>
        <w:tab/>
      </w:r>
      <w:r>
        <w:t xml:space="preserve">Frequency control arrangements in the Australian National Electricity Market</w:t>
      </w:r>
    </w:p>
    <w:bookmarkStart w:id="52" w:name="overview-of-the-nem"/>
    <w:p>
      <w:pPr>
        <w:pStyle w:val="Heading3"/>
      </w:pPr>
      <w:r>
        <w:rPr>
          <w:rStyle w:val="SectionNumber"/>
        </w:rPr>
        <w:t xml:space="preserve">5.6.1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1).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50" name="Picture"/>
            <a:graphic>
              <a:graphicData uri="http://schemas.openxmlformats.org/drawingml/2006/picture">
                <pic:pic>
                  <pic:nvPicPr>
                    <pic:cNvPr descr="source/figures/NEM.png" id="51" name="Picture"/>
                    <pic:cNvPicPr>
                      <a:picLocks noChangeArrowheads="1" noChangeAspect="1"/>
                    </pic:cNvPicPr>
                  </pic:nvPicPr>
                  <pic:blipFill>
                    <a:blip r:embed="rId49"/>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1: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52"/>
    <w:bookmarkStart w:id="55" w:name="fcas-markets"/>
    <w:p>
      <w:pPr>
        <w:pStyle w:val="Heading3"/>
      </w:pPr>
      <w:r>
        <w:rPr>
          <w:rStyle w:val="SectionNumber"/>
        </w:rPr>
        <w:t xml:space="preserve">5.6.2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53"/>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2020e</w:t>
        </w:r>
      </w:hyperlink>
      <w:r>
        <w:t xml:space="preserve">)</w:t>
      </w:r>
      <w:r>
        <w:t xml:space="preserve">.</w:t>
      </w:r>
      <w:r>
        <w:t xml:space="preserve"> </w:t>
      </w:r>
      <w:bookmarkStart w:id="54" w:name="tbl:fcs-fcas"/>
      <w:bookmarkEnd w:id="54"/>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e).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55"/>
    <w:bookmarkStart w:id="56" w:name="nem-operation-and-governance"/>
    <w:p>
      <w:pPr>
        <w:pStyle w:val="Heading3"/>
      </w:pPr>
      <w:r>
        <w:rPr>
          <w:rStyle w:val="SectionNumber"/>
        </w:rPr>
        <w:t xml:space="preserve">5.6.3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56"/>
    <w:bookmarkStart w:id="60" w:name="X4c3136b5df140be4f5dd258cbda0e36e1784f14"/>
    <w:p>
      <w:pPr>
        <w:pStyle w:val="Heading3"/>
      </w:pPr>
      <w:r>
        <w:rPr>
          <w:rStyle w:val="SectionNumber"/>
        </w:rPr>
        <w:t xml:space="preserve">5.6.4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2).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58" name="Picture"/>
            <a:graphic>
              <a:graphicData uri="http://schemas.openxmlformats.org/drawingml/2006/picture">
                <pic:pic>
                  <pic:nvPicPr>
                    <pic:cNvPr descr="source/figures/synchronous_ibr_entry_exit.eps" id="59" name="Picture"/>
                    <pic:cNvPicPr>
                      <a:picLocks noChangeArrowheads="1" noChangeAspect="1"/>
                    </pic:cNvPicPr>
                  </pic:nvPicPr>
                  <pic:blipFill>
                    <a:blip r:embed="rId57"/>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60"/>
    <w:bookmarkStart w:id="65" w:name="X1068bd62b33ed8d70ece9e995c937724b5ed630"/>
    <w:p>
      <w:pPr>
        <w:pStyle w:val="Heading3"/>
      </w:pPr>
      <w:r>
        <w:rPr>
          <w:rStyle w:val="SectionNumber"/>
        </w:rPr>
        <w:t xml:space="preserve">5.6.5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61" w:name="control-mechanisms"/>
    <w:p>
      <w:pPr>
        <w:pStyle w:val="Heading4"/>
      </w:pPr>
      <w:r>
        <w:rPr>
          <w:rStyle w:val="SectionNumber"/>
        </w:rPr>
        <w:t xml:space="preserve">5.6.5.1</w:t>
      </w:r>
      <w:r>
        <w:tab/>
      </w:r>
      <w:r>
        <w:t xml:space="preserve">Control mechanisms:</w:t>
      </w:r>
    </w:p>
    <w:p>
      <w:pPr>
        <w:numPr>
          <w:ilvl w:val="0"/>
          <w:numId w:val="1005"/>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2020e</w:t>
        </w:r>
      </w:hyperlink>
      <w:r>
        <w:t xml:space="preserve">)</w:t>
      </w:r>
      <w:r>
        <w:t xml:space="preserve">.</w:t>
      </w:r>
    </w:p>
    <w:p>
      <w:pPr>
        <w:numPr>
          <w:ilvl w:val="0"/>
          <w:numId w:val="1005"/>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3.8.</w:t>
      </w:r>
    </w:p>
    <w:p>
      <w:pPr>
        <w:numPr>
          <w:ilvl w:val="0"/>
          <w:numId w:val="1005"/>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3.9.</w:t>
      </w:r>
    </w:p>
    <w:bookmarkEnd w:id="61"/>
    <w:bookmarkStart w:id="62" w:name="market-based-mechanisms"/>
    <w:p>
      <w:pPr>
        <w:pStyle w:val="Heading4"/>
      </w:pPr>
      <w:r>
        <w:rPr>
          <w:rStyle w:val="SectionNumber"/>
        </w:rPr>
        <w:t xml:space="preserve">5.6.5.2</w:t>
      </w:r>
      <w:r>
        <w:tab/>
      </w:r>
      <w:r>
        <w:t xml:space="preserve">Market-based mechanisms:</w:t>
      </w:r>
    </w:p>
    <w:p>
      <w:pPr>
        <w:numPr>
          <w:ilvl w:val="0"/>
          <w:numId w:val="1006"/>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06"/>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3.9.</w:t>
      </w:r>
    </w:p>
    <w:p>
      <w:pPr>
        <w:numPr>
          <w:ilvl w:val="0"/>
          <w:numId w:val="1006"/>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62"/>
    <w:bookmarkStart w:id="64" w:name="regulatory-mechanisms"/>
    <w:p>
      <w:pPr>
        <w:pStyle w:val="Heading4"/>
      </w:pPr>
      <w:r>
        <w:rPr>
          <w:rStyle w:val="SectionNumber"/>
        </w:rPr>
        <w:t xml:space="preserve">5.6.5.3</w:t>
      </w:r>
      <w:r>
        <w:tab/>
      </w:r>
      <w:r>
        <w:t xml:space="preserve">Regulatory mechanisms:</w:t>
      </w:r>
    </w:p>
    <w:p>
      <w:pPr>
        <w:numPr>
          <w:ilvl w:val="0"/>
          <w:numId w:val="1007"/>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63"/>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07"/>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2020i</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64"/>
    <w:bookmarkEnd w:id="65"/>
    <w:bookmarkEnd w:id="66"/>
    <w:bookmarkStart w:id="67" w:name="sec:fcs-insights"/>
    <w:p>
      <w:pPr>
        <w:pStyle w:val="Heading2"/>
      </w:pPr>
      <w:r>
        <w:rPr>
          <w:rStyle w:val="SectionNumber"/>
        </w:rPr>
        <w:t xml:space="preserve">5.7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67"/>
    <w:bookmarkStart w:id="72" w:name="sec:fcs-pfr"/>
    <w:p>
      <w:pPr>
        <w:pStyle w:val="Heading2"/>
      </w:pPr>
      <w:r>
        <w:rPr>
          <w:rStyle w:val="SectionNumber"/>
        </w:rPr>
        <w:t xml:space="preserve">5.8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3.9)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3). Wind and solar farms were either unresponsive, tripped due to protection settings in their inverters, or reduced their active power output in line with performance standards negotiated in their connection agreements (middle and bottom frames in Figure 3).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6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70" name="Picture"/>
            <a:graphic>
              <a:graphicData uri="http://schemas.openxmlformats.org/drawingml/2006/picture">
                <pic:pic>
                  <pic:nvPicPr>
                    <pic:cNvPr descr="source/figures/all_responses_25082018.eps" id="71"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2020k</w:t>
        </w:r>
      </w:hyperlink>
      <w:r>
        <w:t xml:space="preserve">)</w:t>
      </w:r>
      <w:r>
        <w:t xml:space="preserve">.</w:t>
      </w:r>
    </w:p>
    <w:bookmarkEnd w:id="72"/>
    <w:bookmarkStart w:id="76" w:name="sec:fcs-regulation"/>
    <w:p>
      <w:pPr>
        <w:pStyle w:val="Heading2"/>
      </w:pPr>
      <w:r>
        <w:rPr>
          <w:rStyle w:val="SectionNumber"/>
        </w:rPr>
        <w:t xml:space="preserve">5.9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08"/>
        </w:numPr>
        <w:pStyle w:val="Compact"/>
      </w:pPr>
      <w:r>
        <w:t xml:space="preserve">A lack of fast and decentralised tight-deadband PFR supporting slower SFR;</w:t>
      </w:r>
    </w:p>
    <w:p>
      <w:pPr>
        <w:numPr>
          <w:ilvl w:val="0"/>
          <w:numId w:val="1008"/>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08"/>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4).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74" name="Picture"/>
            <a:graphic>
              <a:graphicData uri="http://schemas.openxmlformats.org/drawingml/2006/picture">
                <pic:pic>
                  <pic:nvPicPr>
                    <pic:cNvPr descr="source/figures/regional_SCADA_frequencies.eps" id="75" name="Picture"/>
                    <pic:cNvPicPr>
                      <a:picLocks noChangeArrowheads="1" noChangeAspect="1"/>
                    </pic:cNvPicPr>
                  </pic:nvPicPr>
                  <pic:blipFill>
                    <a:blip r:embed="rId7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76"/>
    <w:bookmarkStart w:id="88" w:name="nem-assessment-and-outlook"/>
    <w:p>
      <w:pPr>
        <w:pStyle w:val="Heading2"/>
      </w:pPr>
      <w:r>
        <w:rPr>
          <w:rStyle w:val="SectionNumber"/>
        </w:rPr>
        <w:t xml:space="preserve">5.10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5).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78" name="Picture"/>
            <a:graphic>
              <a:graphicData uri="http://schemas.openxmlformats.org/drawingml/2006/picture">
                <pic:pic>
                  <pic:nvPicPr>
                    <pic:cNvPr descr="source/figures/energy_raise_fcas_vwap_quarterly_2014_2020_v2.png" id="79" name="Picture"/>
                    <pic:cNvPicPr>
                      <a:picLocks noChangeArrowheads="1" noChangeAspect="1"/>
                    </pic:cNvPicPr>
                  </pic:nvPicPr>
                  <pic:blipFill>
                    <a:blip r:embed="rId7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6),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81" name="Picture"/>
            <a:graphic>
              <a:graphicData uri="http://schemas.openxmlformats.org/drawingml/2006/picture">
                <pic:pic>
                  <pic:nvPicPr>
                    <pic:cNvPr descr="source/figures/nem_nofb_frequency_2005_2018_digitised.eps" id="82" name="Picture"/>
                    <pic:cNvPicPr>
                      <a:picLocks noChangeArrowheads="1" noChangeAspect="1"/>
                    </pic:cNvPicPr>
                  </pic:nvPicPr>
                  <pic:blipFill>
                    <a:blip r:embed="rId8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83"/>
      </w:r>
      <w:r>
        <w:t xml:space="preserve"> </w:t>
      </w:r>
      <w:r>
        <w:t xml:space="preserve">suggests that mandatory PFR has delivered better control of frequency within the NOFB (see Figure 7)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85" name="Picture"/>
            <a:graphic>
              <a:graphicData uri="http://schemas.openxmlformats.org/drawingml/2006/picture">
                <pic:pic>
                  <pic:nvPicPr>
                    <pic:cNvPr descr="source/figures/f_stddev_2009_2021.png" id="86" name="Picture"/>
                    <pic:cNvPicPr>
                      <a:picLocks noChangeArrowheads="1" noChangeAspect="1"/>
                    </pic:cNvPicPr>
                  </pic:nvPicPr>
                  <pic:blipFill>
                    <a:blip r:embed="rId8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09"/>
        </w:numPr>
        <w:pStyle w:val="Compact"/>
      </w:pPr>
      <w:r>
        <w:t xml:space="preserve">Procure contingency FCAS volumes based on system inertia;</w:t>
      </w:r>
    </w:p>
    <w:p>
      <w:pPr>
        <w:numPr>
          <w:ilvl w:val="0"/>
          <w:numId w:val="1009"/>
        </w:numPr>
        <w:pStyle w:val="Compact"/>
      </w:pPr>
      <w:r>
        <w:t xml:space="preserve">Apply regional contingency and regulation FCAS requirements; and</w:t>
      </w:r>
    </w:p>
    <w:p>
      <w:pPr>
        <w:numPr>
          <w:ilvl w:val="0"/>
          <w:numId w:val="1009"/>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87" w:name="reactive-regulatory-requirements"/>
    <w:p>
      <w:pPr>
        <w:pStyle w:val="Heading3"/>
      </w:pPr>
      <w:r>
        <w:rPr>
          <w:rStyle w:val="SectionNumber"/>
        </w:rPr>
        <w:t xml:space="preserve">5.10.1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87"/>
    <w:bookmarkEnd w:id="88"/>
    <w:bookmarkStart w:id="89" w:name="preference-for-market-based-arrangements"/>
    <w:p>
      <w:pPr>
        <w:pStyle w:val="Heading2"/>
      </w:pPr>
      <w:r>
        <w:rPr>
          <w:rStyle w:val="SectionNumber"/>
        </w:rPr>
        <w:t xml:space="preserve">5.11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3.4),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2020l</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3.5.2,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w:t>
        </w:r>
      </w:hyperlink>
      <w:r>
        <w:t xml:space="preserve">)</w:t>
      </w:r>
      <w:r>
        <w:t xml:space="preserve">. However, the shape of these system demand curves and how they account for interdependent or interchangeable FCAS will ultimately dictate their success.</w:t>
      </w:r>
    </w:p>
    <w:bookmarkEnd w:id="89"/>
    <w:bookmarkStart w:id="90" w:name="conclusion-1"/>
    <w:p>
      <w:pPr>
        <w:pStyle w:val="Heading2"/>
      </w:pPr>
      <w:r>
        <w:rPr>
          <w:rStyle w:val="SectionNumber"/>
        </w:rPr>
        <w:t xml:space="preserve">5.12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0"/>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0"/>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0"/>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0"/>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90"/>
    <w:bookmarkEnd w:id="91"/>
    <w:bookmarkStart w:id="99" w:name="sec:second"/>
    <w:p>
      <w:pPr>
        <w:pStyle w:val="Heading1"/>
      </w:pPr>
      <w:r>
        <w:rPr>
          <w:rStyle w:val="SectionNumber"/>
        </w:rPr>
        <w:t xml:space="preserve">6</w:t>
      </w:r>
      <w:r>
        <w:tab/>
      </w:r>
      <w:r>
        <w:t xml:space="preserve">Research containing a figure</w:t>
      </w:r>
    </w:p>
    <w:bookmarkStart w:id="92" w:name="introduction-1"/>
    <w:p>
      <w:pPr>
        <w:pStyle w:val="Heading2"/>
      </w:pPr>
      <w:r>
        <w:rPr>
          <w:rStyle w:val="SectionNumber"/>
        </w:rPr>
        <w:t xml:space="preserve">6.1</w:t>
      </w:r>
      <w:r>
        <w:tab/>
      </w:r>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bookmarkEnd w:id="92"/>
    <w:bookmarkStart w:id="95" w:name="method"/>
    <w:p>
      <w:pPr>
        <w:pStyle w:val="Heading2"/>
      </w:pPr>
      <w:r>
        <w:rPr>
          <w:rStyle w:val="SectionNumber"/>
        </w:rPr>
        <w:t xml:space="preserve">6.2</w:t>
      </w:r>
      <w:r>
        <w:tab/>
      </w:r>
      <w:r>
        <w:t xml:space="preserve">Method</w:t>
      </w:r>
    </w:p>
    <w:p>
      <w:pPr>
        <w:pStyle w:val="FirstParagraph"/>
      </w:pPr>
      <w:r>
        <w:t xml:space="preserve">Donec imperdiet, lectus vestibulum sagittis tempus, turpis dolor euismod justo, vel tempus neque libero sit amet tortor. Nam cursus commodo tincidunt.</w:t>
      </w:r>
    </w:p>
    <w:bookmarkStart w:id="93" w:name="subsection-1"/>
    <w:p>
      <w:pPr>
        <w:pStyle w:val="Heading3"/>
      </w:pPr>
      <w:r>
        <w:rPr>
          <w:rStyle w:val="SectionNumber"/>
        </w:rPr>
        <w:t xml:space="preserve">6.2.1</w:t>
      </w:r>
      <w:r>
        <w:tab/>
      </w:r>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bookmarkEnd w:id="93"/>
    <w:bookmarkStart w:id="94" w:name="subsection-2"/>
    <w:p>
      <w:pPr>
        <w:pStyle w:val="Heading3"/>
      </w:pPr>
      <w:r>
        <w:rPr>
          <w:rStyle w:val="SectionNumber"/>
        </w:rPr>
        <w:t xml:space="preserve">6.2.2</w:t>
      </w:r>
      <w:r>
        <w:tab/>
      </w:r>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bookmarkEnd w:id="94"/>
    <w:bookmarkEnd w:id="95"/>
    <w:bookmarkStart w:id="96" w:name="results"/>
    <w:p>
      <w:pPr>
        <w:pStyle w:val="Heading2"/>
      </w:pPr>
      <w:r>
        <w:rPr>
          <w:rStyle w:val="SectionNumber"/>
        </w:rPr>
        <w:t xml:space="preserve">6.3</w:t>
      </w:r>
      <w:r>
        <w:tab/>
      </w:r>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bookmarkEnd w:id="96"/>
    <w:bookmarkStart w:id="97" w:name="discussion"/>
    <w:p>
      <w:pPr>
        <w:pStyle w:val="Heading2"/>
      </w:pPr>
      <w:r>
        <w:rPr>
          <w:rStyle w:val="SectionNumber"/>
        </w:rPr>
        <w:t xml:space="preserve">6.4</w:t>
      </w:r>
      <w:r>
        <w:tab/>
      </w:r>
      <w:r>
        <w:t xml:space="preserve">Discussion</w:t>
      </w:r>
    </w:p>
    <w:bookmarkEnd w:id="97"/>
    <w:bookmarkStart w:id="98" w:name="conclusion-2"/>
    <w:p>
      <w:pPr>
        <w:pStyle w:val="Heading2"/>
      </w:pPr>
      <w:r>
        <w:rPr>
          <w:rStyle w:val="SectionNumber"/>
        </w:rPr>
        <w:t xml:space="preserve">6.5</w:t>
      </w:r>
      <w:r>
        <w:tab/>
      </w:r>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bookmarkEnd w:id="98"/>
    <w:bookmarkEnd w:id="99"/>
    <w:bookmarkStart w:id="181" w:name="sec:reserves"/>
    <w:p>
      <w:pPr>
        <w:pStyle w:val="Heading1"/>
      </w:pPr>
      <w:r>
        <w:rPr>
          <w:rStyle w:val="SectionNumber"/>
        </w:rPr>
        <w:t xml:space="preserve">7</w:t>
      </w:r>
      <w:r>
        <w:tab/>
      </w:r>
      <w:r>
        <w:t xml:space="preserve">Quantifying reserve capabilities: an Australian case study with increasing penetrations of renewables</w:t>
      </w:r>
    </w:p>
    <w:bookmarkStart w:id="100"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00"/>
    <w:bookmarkStart w:id="101"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01"/>
    <w:bookmarkStart w:id="102" w:name="introduction-2"/>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1"/>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1"/>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2"/>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2"/>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2"/>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3"/>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3"/>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3"/>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4"/>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4"/>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5.8.</w:t>
      </w:r>
    </w:p>
    <w:bookmarkEnd w:id="102"/>
    <w:bookmarkStart w:id="115"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07" w:name="market-design"/>
    <w:p>
      <w:pPr>
        <w:pStyle w:val="Heading3"/>
      </w:pPr>
      <w:r>
        <w:rPr>
          <w:rStyle w:val="SectionNumber"/>
        </w:rPr>
        <w:t xml:space="preserve">7.4.1</w:t>
      </w:r>
      <w:r>
        <w:tab/>
      </w:r>
      <w:r>
        <w:t xml:space="preserve">Market design</w:t>
      </w:r>
    </w:p>
    <w:bookmarkStart w:id="104"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323e2e3e10a877f9ebe79b58d1fe683bf7f391">
        <w:r>
          <w:rPr>
            <w:rStyle w:val="Hyperlink"/>
          </w:rPr>
          <w:t xml:space="preserve">Australian Energy Market Operator, n.d.a</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15"/>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15"/>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15"/>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03"/>
      </w:r>
      <w:r>
        <w:t xml:space="preserve"> </w:t>
      </w:r>
      <w:r>
        <w:t xml:space="preserve">(</w:t>
      </w:r>
      <w:hyperlink w:anchor="X3f3a611a4aac621679da42392957269bd79b28f">
        <w:r>
          <w:rPr>
            <w:rStyle w:val="Hyperlink"/>
          </w:rPr>
          <w:t xml:space="preserve">Australian Energy Market Operator, 2020m</w:t>
        </w:r>
      </w:hyperlink>
      <w:r>
        <w:t xml:space="preserve">)</w:t>
      </w:r>
      <w:r>
        <w:t xml:space="preserve">.</w:t>
      </w:r>
    </w:p>
    <w:bookmarkEnd w:id="104"/>
    <w:bookmarkStart w:id="105"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05"/>
    <w:bookmarkStart w:id="106"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16"/>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16"/>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16"/>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16"/>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06"/>
    <w:bookmarkEnd w:id="107"/>
    <w:bookmarkStart w:id="109"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17"/>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2020n</w:t>
        </w:r>
      </w:hyperlink>
      <w:r>
        <w:t xml:space="preserve">,</w:t>
      </w:r>
      <w:r>
        <w:t xml:space="preserve"> </w:t>
      </w:r>
      <w:hyperlink w:anchor="X3d4c8dbacd98ce489f3f9224cc3851ddc516c4d">
        <w:r>
          <w:rPr>
            <w:rStyle w:val="Hyperlink"/>
          </w:rPr>
          <w:t xml:space="preserve">2012</w:t>
        </w:r>
      </w:hyperlink>
      <w:r>
        <w:t xml:space="preserve">)</w:t>
      </w:r>
      <w:r>
        <w:t xml:space="preserve">.</w:t>
      </w:r>
    </w:p>
    <w:p>
      <w:pPr>
        <w:numPr>
          <w:ilvl w:val="0"/>
          <w:numId w:val="1017"/>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n.d.b</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08"/>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09"/>
    <w:bookmarkStart w:id="114"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8).</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11" name="Picture"/>
            <a:graphic>
              <a:graphicData uri="http://schemas.openxmlformats.org/drawingml/2006/picture">
                <pic:pic>
                  <pic:nvPicPr>
                    <pic:cNvPr descr="source/figures/raise5minq42020.png" id="112" name="Picture"/>
                    <pic:cNvPicPr>
                      <a:picLocks noChangeArrowheads="1" noChangeAspect="1"/>
                    </pic:cNvPicPr>
                  </pic:nvPicPr>
                  <pic:blipFill>
                    <a:blip r:embed="rId110"/>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8: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13"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w:t>
        </w:r>
      </w:hyperlink>
      <w:r>
        <w:t xml:space="preserve">)</w:t>
      </w:r>
      <w:r>
        <w:t xml:space="preserve">. Market bodies and participants have raised several potential benefits of an operating reserve product:</w:t>
      </w:r>
    </w:p>
    <w:p>
      <w:pPr>
        <w:numPr>
          <w:ilvl w:val="0"/>
          <w:numId w:val="1018"/>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18"/>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18"/>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13"/>
    <w:bookmarkEnd w:id="114"/>
    <w:bookmarkEnd w:id="115"/>
    <w:bookmarkStart w:id="136"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16"/>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135"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21" w:name="sec:reserves-nomenclature"/>
    <w:p>
      <w:pPr>
        <w:pStyle w:val="Heading4"/>
      </w:pPr>
      <w:r>
        <w:rPr>
          <w:rStyle w:val="SectionNumber"/>
        </w:rPr>
        <w:t xml:space="preserve">7.5.1.1</w:t>
      </w:r>
      <w:r>
        <w:tab/>
      </w:r>
      <w:r>
        <w:t xml:space="preserve">Nomenclature</w:t>
      </w:r>
    </w:p>
    <w:bookmarkStart w:id="117" w:name="indices-and-sets"/>
    <w:p>
      <w:pPr>
        <w:pStyle w:val="Heading5"/>
      </w:pPr>
      <w:r>
        <w:rPr>
          <w:rStyle w:val="SectionNumber"/>
        </w:rPr>
        <w:t xml:space="preserve">7.5.1.1.1</w:t>
      </w:r>
      <w:r>
        <w:tab/>
      </w:r>
      <w:r>
        <w:t xml:space="preserve">Indices and sets</w:t>
      </w:r>
    </w:p>
    <w:bookmarkEnd w:id="117"/>
    <w:bookmarkStart w:id="118" w:name="time-varying-resource-parameters"/>
    <w:p>
      <w:pPr>
        <w:pStyle w:val="Heading5"/>
      </w:pPr>
      <w:r>
        <w:rPr>
          <w:rStyle w:val="SectionNumber"/>
        </w:rPr>
        <w:t xml:space="preserve">7.5.1.1.2</w:t>
      </w:r>
      <w:r>
        <w:tab/>
      </w:r>
      <w:r>
        <w:t xml:space="preserve">Time-varying resource parameters</w:t>
      </w:r>
    </w:p>
    <w:bookmarkEnd w:id="118"/>
    <w:bookmarkStart w:id="119" w:name="static-resource-parameters"/>
    <w:p>
      <w:pPr>
        <w:pStyle w:val="Heading5"/>
      </w:pPr>
      <w:r>
        <w:rPr>
          <w:rStyle w:val="SectionNumber"/>
        </w:rPr>
        <w:t xml:space="preserve">7.5.1.1.3</w:t>
      </w:r>
      <w:r>
        <w:tab/>
      </w:r>
      <w:r>
        <w:t xml:space="preserve">Static resource parameters</w:t>
      </w:r>
    </w:p>
    <w:bookmarkEnd w:id="119"/>
    <w:bookmarkStart w:id="120" w:name="computed-quantities"/>
    <w:p>
      <w:pPr>
        <w:pStyle w:val="Heading5"/>
      </w:pPr>
      <w:r>
        <w:rPr>
          <w:rStyle w:val="SectionNumber"/>
        </w:rPr>
        <w:t xml:space="preserve">7.5.1.1.4</w:t>
      </w:r>
      <w:r>
        <w:tab/>
      </w:r>
      <w:r>
        <w:t xml:space="preserve">Computed quantities</w:t>
      </w:r>
    </w:p>
    <w:bookmarkEnd w:id="120"/>
    <w:bookmarkEnd w:id="121"/>
    <w:bookmarkStart w:id="125"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22"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\end{cases}\qquad{(3)}$$</w:t>
      </w:r>
      <w:bookmarkEnd w:id="122"/>
    </w:p>
    <w:p>
      <w:pPr>
        <w:pStyle w:val="FirstParagraph"/>
      </w:pPr>
      <w:r>
        <w:t xml:space="preserve">The three conditions in Equation 3 reflect the following:</w:t>
      </w:r>
    </w:p>
    <w:p>
      <w:pPr>
        <w:numPr>
          <w:ilvl w:val="0"/>
          <w:numId w:val="1019"/>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19"/>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19"/>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4, which has two conditions that resemble the first two conditions of Equation 3:</w:t>
      </w:r>
    </w:p>
    <w:p>
      <w:pPr>
        <w:pStyle w:val="BodyText"/>
      </w:pPr>
      <w:bookmarkStart w:id="123" w:name="eq:convoffres"/>
      <w:r>
        <w:t xml:space="preserve">$$AR_{r_c,h,t}^{OFF} = \begin{cases}
          \mathrm{StartUp}_{r_c} \times h &amp; g_{r_c,t}=0, h \leq \mathrm{SUT}_{r_c,t} \\
          \min(\\ \hspace{0.2cm} \mathrm{MSL}_{r_c} + \mathrm{RampUp}_{r_c} \times (h-\mathrm{SUT}_{r_c,t}),\\ \hspace{0.2cm} \overline{g}_{r_c,t} - g_{r_c,t}\\) &amp; g_{r_c,t}=0,  h&gt;\mathrm{SUT}_{r_c,t}
       \end{cases}\qquad{(4)}$$</w:t>
      </w:r>
      <w:bookmarkEnd w:id="123"/>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5):</w:t>
      </w:r>
    </w:p>
    <w:p>
      <w:pPr>
        <w:pStyle w:val="BodyText"/>
      </w:pPr>
      <w:bookmarkStart w:id="124"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5</m:t>
              </m:r>
            </m:e>
          </m:d>
        </m:oMath>
      </m:oMathPara>
      <w:bookmarkEnd w:id="124"/>
    </w:p>
    <w:bookmarkEnd w:id="125"/>
    <w:bookmarkStart w:id="128"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26"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6</m:t>
              </m:r>
            </m:e>
          </m:d>
        </m:oMath>
      </m:oMathPara>
      <w:bookmarkEnd w:id="126"/>
    </w:p>
    <w:p>
      <w:pPr>
        <w:pStyle w:val="FirstParagraph"/>
      </w:pPr>
      <w:bookmarkStart w:id="127"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27"/>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28"/>
    <w:bookmarkStart w:id="131"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8) and available footroom (Equation 9):</w:t>
      </w:r>
    </w:p>
    <w:p>
      <w:pPr>
        <w:pStyle w:val="BodyText"/>
      </w:pPr>
      <w:bookmarkStart w:id="129"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8</m:t>
              </m:r>
            </m:e>
          </m:d>
        </m:oMath>
      </m:oMathPara>
      <w:bookmarkEnd w:id="129"/>
    </w:p>
    <w:p>
      <w:pPr>
        <w:pStyle w:val="FirstParagraph"/>
      </w:pPr>
      <w:bookmarkStart w:id="130"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30"/>
    </w:p>
    <w:bookmarkEnd w:id="131"/>
    <w:bookmarkStart w:id="134"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10 and Equation 11, respectively:</w:t>
      </w:r>
    </w:p>
    <w:p>
      <w:pPr>
        <w:pStyle w:val="BodyText"/>
      </w:pPr>
      <w:bookmarkStart w:id="132"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10</m:t>
              </m:r>
            </m:e>
          </m:d>
        </m:oMath>
      </m:oMathPara>
      <w:bookmarkEnd w:id="132"/>
    </w:p>
    <w:p>
      <w:pPr>
        <w:pStyle w:val="FirstParagraph"/>
      </w:pPr>
      <w:bookmarkStart w:id="133"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33"/>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134"/>
    <w:bookmarkEnd w:id="135"/>
    <w:bookmarkEnd w:id="136"/>
    <w:bookmarkStart w:id="148" w:name="sec:reserves-casestudy"/>
    <w:p>
      <w:pPr>
        <w:pStyle w:val="Heading2"/>
      </w:pPr>
      <w:r>
        <w:rPr>
          <w:rStyle w:val="SectionNumber"/>
        </w:rPr>
        <w:t xml:space="preserve">7.6</w:t>
      </w:r>
      <w:r>
        <w:tab/>
      </w:r>
      <w:r>
        <w:t xml:space="preserve">Case Study: Two Regions in the National Electricity Market</w:t>
      </w:r>
    </w:p>
    <w:bookmarkStart w:id="147"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137"/>
      </w:r>
      <w:r>
        <w:t xml:space="preserve">.</w:t>
      </w:r>
    </w:p>
    <w:bookmarkStart w:id="138"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0"/>
              </w:numPr>
              <w:pStyle w:val="Compact"/>
              <w:jc w:val="center"/>
            </w:pPr>
            <w:r>
              <w:t xml:space="preserve">Modelled using historical demand and existing resources</w:t>
            </w:r>
          </w:p>
          <w:p>
            <w:pPr>
              <w:numPr>
                <w:ilvl w:val="1"/>
                <w:numId w:val="1021"/>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2"/>
              </w:numPr>
              <w:pStyle w:val="Compact"/>
              <w:jc w:val="center"/>
            </w:pPr>
            <w:r>
              <w:t xml:space="preserve">Based on existing policy settings at the time of 2020 ISP:</w:t>
            </w:r>
          </w:p>
          <w:p>
            <w:pPr>
              <w:numPr>
                <w:ilvl w:val="1"/>
                <w:numId w:val="1023"/>
              </w:numPr>
              <w:pStyle w:val="Compact"/>
              <w:jc w:val="center"/>
            </w:pPr>
            <w:r>
              <w:t xml:space="preserve">Moderate deployment of VRE and BESS</w:t>
            </w:r>
          </w:p>
          <w:p>
            <w:pPr>
              <w:numPr>
                <w:ilvl w:val="1"/>
                <w:numId w:val="1023"/>
              </w:numPr>
              <w:pStyle w:val="Compact"/>
              <w:jc w:val="center"/>
            </w:pPr>
            <w:r>
              <w:t xml:space="preserve">Distributed solar PV has moderate impact on operational demand</w:t>
            </w:r>
          </w:p>
          <w:p>
            <w:pPr>
              <w:numPr>
                <w:ilvl w:val="1"/>
                <w:numId w:val="1023"/>
              </w:numPr>
              <w:pStyle w:val="Compact"/>
              <w:jc w:val="center"/>
            </w:pPr>
            <w:r>
              <w:t xml:space="preserve">Thermal unit retirements in both states</w:t>
            </w:r>
          </w:p>
          <w:p>
            <w:pPr>
              <w:numPr>
                <w:ilvl w:val="1"/>
                <w:numId w:val="1023"/>
              </w:numPr>
              <w:pStyle w:val="Compact"/>
              <w:jc w:val="center"/>
            </w:pPr>
            <w:r>
              <w:t xml:space="preserve">Large hydropower capacity addition in NSW</w:t>
            </w:r>
          </w:p>
          <w:p>
            <w:pPr>
              <w:numPr>
                <w:ilvl w:val="1"/>
                <w:numId w:val="1023"/>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4"/>
              </w:numPr>
              <w:pStyle w:val="Compact"/>
              <w:jc w:val="center"/>
            </w:pPr>
            <w:r>
              <w:t xml:space="preserve">More aggressive transition:</w:t>
            </w:r>
          </w:p>
          <w:p>
            <w:pPr>
              <w:numPr>
                <w:ilvl w:val="1"/>
                <w:numId w:val="1025"/>
              </w:numPr>
              <w:pStyle w:val="Compact"/>
              <w:jc w:val="center"/>
            </w:pPr>
            <w:r>
              <w:t xml:space="preserve">Large deployments of VRE and BESS</w:t>
            </w:r>
          </w:p>
          <w:p>
            <w:pPr>
              <w:numPr>
                <w:ilvl w:val="1"/>
                <w:numId w:val="1025"/>
              </w:numPr>
              <w:pStyle w:val="Compact"/>
              <w:jc w:val="center"/>
            </w:pPr>
            <w:r>
              <w:t xml:space="preserve">Distributed solar PV has greater impact on operational demand</w:t>
            </w:r>
          </w:p>
          <w:p>
            <w:pPr>
              <w:numPr>
                <w:ilvl w:val="1"/>
                <w:numId w:val="1025"/>
              </w:numPr>
              <w:pStyle w:val="Compact"/>
              <w:jc w:val="center"/>
            </w:pPr>
            <w:r>
              <w:t xml:space="preserve">Further thermal unit retirements in NSW</w:t>
            </w:r>
          </w:p>
          <w:p>
            <w:pPr>
              <w:numPr>
                <w:ilvl w:val="1"/>
                <w:numId w:val="1025"/>
              </w:numPr>
              <w:pStyle w:val="Compact"/>
              <w:jc w:val="center"/>
            </w:pPr>
            <w:r>
              <w:t xml:space="preserve">Large hydropower capacity addition in NSW</w:t>
            </w:r>
          </w:p>
          <w:p>
            <w:pPr>
              <w:numPr>
                <w:ilvl w:val="1"/>
                <w:numId w:val="1025"/>
              </w:numPr>
              <w:pStyle w:val="Compact"/>
              <w:jc w:val="center"/>
            </w:pPr>
            <w:r>
              <w:t xml:space="preserve">Fewer synchronous units must run for system strength in SA</w:t>
            </w:r>
          </w:p>
        </w:tc>
      </w:tr>
    </w:tbl>
    <w:bookmarkEnd w:id="138"/>
    <w:p>
      <w:pPr>
        <w:pStyle w:val="FirstParagraph"/>
      </w:pPr>
      <w:r>
        <w:t xml:space="preserve">Modelling SA and NSW across these three scenarios enables four sensitivities to be explored:</w:t>
      </w:r>
    </w:p>
    <w:p>
      <w:pPr>
        <w:numPr>
          <w:ilvl w:val="0"/>
          <w:numId w:val="1026"/>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26"/>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9.</w:t>
      </w:r>
    </w:p>
    <w:p>
      <w:pPr>
        <w:numPr>
          <w:ilvl w:val="0"/>
          <w:numId w:val="1026"/>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26"/>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142" w:name="fig:nsw_capacities"/>
            <w:r>
              <w:drawing>
                <wp:inline>
                  <wp:extent cx="2667000" cy="1352397"/>
                  <wp:effectExtent b="0" l="0" r="0" t="0"/>
                  <wp:docPr descr="a" title="" id="140" name="Picture"/>
                  <a:graphic>
                    <a:graphicData uri="http://schemas.openxmlformats.org/drawingml/2006/picture">
                      <pic:pic>
                        <pic:nvPicPr>
                          <pic:cNvPr descr="source/figures/nsw_capacities.png" id="141" name="Picture"/>
                          <pic:cNvPicPr>
                            <a:picLocks noChangeArrowheads="1" noChangeAspect="1"/>
                          </pic:cNvPicPr>
                        </pic:nvPicPr>
                        <pic:blipFill>
                          <a:blip r:embed="rId139"/>
                          <a:stretch>
                            <a:fillRect/>
                          </a:stretch>
                        </pic:blipFill>
                        <pic:spPr bwMode="auto">
                          <a:xfrm>
                            <a:off x="0" y="0"/>
                            <a:ext cx="2667000" cy="1352397"/>
                          </a:xfrm>
                          <a:prstGeom prst="rect">
                            <a:avLst/>
                          </a:prstGeom>
                          <a:noFill/>
                          <a:ln w="9525">
                            <a:noFill/>
                            <a:headEnd/>
                            <a:tailEnd/>
                          </a:ln>
                        </pic:spPr>
                      </pic:pic>
                    </a:graphicData>
                  </a:graphic>
                </wp:inline>
              </w:drawing>
            </w:r>
            <w:bookmarkEnd w:id="142"/>
          </w:p>
        </w:tc>
        <w:tc>
          <w:tcPr/>
          <w:p>
            <w:pPr>
              <w:jc w:val="center"/>
            </w:pPr>
            <w:bookmarkStart w:id="146" w:name="fig:sa_capacities"/>
            <w:r>
              <w:drawing>
                <wp:inline>
                  <wp:extent cx="2667000" cy="1352397"/>
                  <wp:effectExtent b="0" l="0" r="0" t="0"/>
                  <wp:docPr descr="b" title="" id="144" name="Picture"/>
                  <a:graphic>
                    <a:graphicData uri="http://schemas.openxmlformats.org/drawingml/2006/picture">
                      <pic:pic>
                        <pic:nvPicPr>
                          <pic:cNvPr descr="source/figures/sa_capacities.png" id="145" name="Picture"/>
                          <pic:cNvPicPr>
                            <a:picLocks noChangeArrowheads="1" noChangeAspect="1"/>
                          </pic:cNvPicPr>
                        </pic:nvPicPr>
                        <pic:blipFill>
                          <a:blip r:embed="rId143"/>
                          <a:stretch>
                            <a:fillRect/>
                          </a:stretch>
                        </pic:blipFill>
                        <pic:spPr bwMode="auto">
                          <a:xfrm>
                            <a:off x="0" y="0"/>
                            <a:ext cx="2667000" cy="1352397"/>
                          </a:xfrm>
                          <a:prstGeom prst="rect">
                            <a:avLst/>
                          </a:prstGeom>
                          <a:noFill/>
                          <a:ln w="9525">
                            <a:noFill/>
                            <a:headEnd/>
                            <a:tailEnd/>
                          </a:ln>
                        </pic:spPr>
                      </pic:pic>
                    </a:graphicData>
                  </a:graphic>
                </wp:inline>
              </w:drawing>
            </w:r>
            <w:bookmarkEnd w:id="146"/>
          </w:p>
        </w:tc>
      </w:tr>
    </w:tbl>
    <w:p>
      <w:pPr>
        <w:pStyle w:val="ImageCaption"/>
      </w:pPr>
      <w:r>
        <w:t xml:space="preserve">Figure 9: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147"/>
    <w:bookmarkEnd w:id="148"/>
    <w:bookmarkStart w:id="179" w:name="sec:reserves-method"/>
    <w:p>
      <w:pPr>
        <w:pStyle w:val="Heading2"/>
      </w:pPr>
      <w:r>
        <w:rPr>
          <w:rStyle w:val="SectionNumber"/>
        </w:rPr>
        <w:t xml:space="preserve">7.7</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149"/>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10.</w:t>
      </w:r>
    </w:p>
    <w:p>
      <w:pPr>
        <w:pStyle w:val="BodyText"/>
      </w:pPr>
      <w:r>
        <w:t xml:space="preserve">In Appendix A, we outline our sources for key input data and assumptions (top row of Figure 10)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151" name="Picture"/>
            <a:graphic>
              <a:graphicData uri="http://schemas.openxmlformats.org/drawingml/2006/picture">
                <pic:pic>
                  <pic:nvPicPr>
                    <pic:cNvPr descr="source/figures/modelling_diagram.png" id="152" name="Picture"/>
                    <pic:cNvPicPr>
                      <a:picLocks noChangeArrowheads="1" noChangeAspect="1"/>
                    </pic:cNvPicPr>
                  </pic:nvPicPr>
                  <pic:blipFill>
                    <a:blip r:embed="rId150"/>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10: Process flow for modelling available reserves and footroom for each scenario in this case study.</w:t>
      </w:r>
    </w:p>
    <w:bookmarkStart w:id="155" w:name="limitations-1"/>
    <w:p>
      <w:pPr>
        <w:pStyle w:val="Heading3"/>
      </w:pPr>
      <w:r>
        <w:rPr>
          <w:rStyle w:val="SectionNumber"/>
        </w:rPr>
        <w:t xml:space="preserve">7.7.1</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153"/>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154"/>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27"/>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27"/>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27"/>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155"/>
    <w:bookmarkStart w:id="176" w:name="sec:reserves-results"/>
    <w:p>
      <w:pPr>
        <w:pStyle w:val="Heading3"/>
      </w:pPr>
      <w:r>
        <w:rPr>
          <w:rStyle w:val="SectionNumber"/>
        </w:rPr>
        <w:t xml:space="preserve">7.7.2</w:t>
      </w:r>
      <w:r>
        <w:tab/>
      </w:r>
      <w:r>
        <w:t xml:space="preserve">Results and discussion</w:t>
      </w:r>
    </w:p>
    <w:bookmarkStart w:id="157" w:name="synthetic-daily-profiles"/>
    <w:p>
      <w:pPr>
        <w:pStyle w:val="Heading4"/>
      </w:pPr>
      <w:r>
        <w:rPr>
          <w:rStyle w:val="SectionNumber"/>
        </w:rPr>
        <w:t xml:space="preserve">7.7.2.1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28"/>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28"/>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156"/>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157"/>
    <w:bookmarkStart w:id="164" w:name="sec:reserves-reserveSDPs"/>
    <w:p>
      <w:pPr>
        <w:pStyle w:val="Heading4"/>
      </w:pPr>
      <w:r>
        <w:rPr>
          <w:rStyle w:val="SectionNumber"/>
        </w:rPr>
        <w:t xml:space="preserve">7.7.2.2</w:t>
      </w:r>
      <w:r>
        <w:tab/>
      </w:r>
      <w:r>
        <w:t xml:space="preserve">Available reserve synthetic days</w:t>
      </w:r>
    </w:p>
    <w:p>
      <w:pPr>
        <w:pStyle w:val="FirstParagraph"/>
      </w:pPr>
      <w:r>
        <w:t xml:space="preserve">Mean and bottom 1% available reserve SDPs were generated for the NSW scenarios and for the SA scenarios (Figures 11, 12). The mean SDPs across scenarios suggest that, on average, NSW has more than 2 GW and SA more than 600 MW of reserves available within 5+ minutes. These levels of reserves:</w:t>
      </w:r>
    </w:p>
    <w:p>
      <w:pPr>
        <w:numPr>
          <w:ilvl w:val="0"/>
          <w:numId w:val="1029"/>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29"/>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2">
        <w:r>
          <w:rPr>
            <w:rStyle w:val="Hyperlink"/>
          </w:rPr>
          <w:t xml:space="preserve">Prakash, 2022</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159" name="Picture"/>
            <a:graphic>
              <a:graphicData uri="http://schemas.openxmlformats.org/drawingml/2006/picture">
                <pic:pic>
                  <pic:nvPicPr>
                    <pic:cNvPr descr="./source/figures/NSW_reserves_all_profiles_by_di.png" id="160" name="Picture"/>
                    <pic:cNvPicPr>
                      <a:picLocks noChangeArrowheads="1" noChangeAspect="1"/>
                    </pic:cNvPicPr>
                  </pic:nvPicPr>
                  <pic:blipFill>
                    <a:blip r:embed="rId158"/>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11: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162" name="Picture"/>
            <a:graphic>
              <a:graphicData uri="http://schemas.openxmlformats.org/drawingml/2006/picture">
                <pic:pic>
                  <pic:nvPicPr>
                    <pic:cNvPr descr="./source/figures/SA_reserves_all_profiles_by_di.png" id="163" name="Picture"/>
                    <pic:cNvPicPr>
                      <a:picLocks noChangeArrowheads="1" noChangeAspect="1"/>
                    </pic:cNvPicPr>
                  </pic:nvPicPr>
                  <pic:blipFill>
                    <a:blip r:embed="rId16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12: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0"/>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0"/>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8).</w:t>
      </w:r>
    </w:p>
    <w:bookmarkEnd w:id="164"/>
    <w:bookmarkStart w:id="171" w:name="sec:reserves-footroomSDPs"/>
    <w:p>
      <w:pPr>
        <w:pStyle w:val="Heading4"/>
      </w:pPr>
      <w:r>
        <w:rPr>
          <w:rStyle w:val="SectionNumber"/>
        </w:rPr>
        <w:t xml:space="preserve">7.7.2.3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13, 14 show mean and bottom 1% SDPs across NSW scenarios for firm footroom and total footroom, respectively. From the bottom 1% SDPs in Figure 13, it is clear that firm system footroom can become very low in NSW in 2025 as remaining baseload conventional generators are driven to operate closer to their MSLs. However, such concerns could be alleviated if VRE provide footroom (Figure 14).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166" name="Picture"/>
            <a:graphic>
              <a:graphicData uri="http://schemas.openxmlformats.org/drawingml/2006/picture">
                <pic:pic>
                  <pic:nvPicPr>
                    <pic:cNvPr descr="./source/figures/NSW_firmfootroom_all_profiles_by_di.png" id="167" name="Picture"/>
                    <pic:cNvPicPr>
                      <a:picLocks noChangeArrowheads="1" noChangeAspect="1"/>
                    </pic:cNvPicPr>
                  </pic:nvPicPr>
                  <pic:blipFill>
                    <a:blip r:embed="rId165"/>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13: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169" name="Picture"/>
            <a:graphic>
              <a:graphicData uri="http://schemas.openxmlformats.org/drawingml/2006/picture">
                <pic:pic>
                  <pic:nvPicPr>
                    <pic:cNvPr descr="./source/figures/NSW_footroom_all_profiles_by_di.png" id="170" name="Picture"/>
                    <pic:cNvPicPr>
                      <a:picLocks noChangeArrowheads="1" noChangeAspect="1"/>
                    </pic:cNvPicPr>
                  </pic:nvPicPr>
                  <pic:blipFill>
                    <a:blip r:embed="rId16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14: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171"/>
    <w:bookmarkStart w:id="175" w:name="sec:reserves-stelr"/>
    <w:p>
      <w:pPr>
        <w:pStyle w:val="Heading4"/>
      </w:pPr>
      <w:r>
        <w:rPr>
          <w:rStyle w:val="SectionNumber"/>
        </w:rPr>
        <w:t xml:space="preserve">7.7.2.4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2020o</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rPr>
          <w:bCs/>
          <w:b/>
        </w:rPr>
        <w:t xml:space="preserve">¿tbl:nsw_stel?</w:t>
      </w:r>
      <w:r>
        <w:t xml:space="preserve"> </w:t>
      </w:r>
      <w:r>
        <w:t xml:space="preserve">and</w:t>
      </w:r>
      <w:r>
        <w:t xml:space="preserve"> </w:t>
      </w:r>
      <w:r>
        <w:rPr>
          <w:bCs/>
          <w:b/>
        </w:rPr>
        <w:t xml:space="preserve">¿tbl:sa_stel?</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172"/>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p>
      <w:pPr>
        <w:pStyle w:val="TableCaption"/>
      </w:pPr>
      <w:r>
        <w:t xml:space="preserve">Median of the percentage of each resource type’s contribution to reserves available within 5 minutes and 30 minutes in every dispatch interval for each NSW scenario year. The median percentages are not necessarily coincident (i.e. from the same dispatch interval) and therefore may not sum to 100%. Furthermore, some distributions are long-tailed, so a median does not capture occasional reserve provision by a resource type (e.g. VRE, for which all medians are 0%).</w:t>
      </w:r>
      <w:r>
        <w:t xml:space="preserve"> </w:t>
      </w:r>
      <w:bookmarkStart w:id="173" w:name="tbl:nsw_stel"/>
      <w:bookmarkEnd w:id="173"/>
    </w:p>
    <w:tbl>
      <w:tblPr>
        <w:tblStyle w:val="Table"/>
        <w:tblW w:type="pct" w:w="4731"/>
        <w:tblLook w:firstRow="1" w:lastRow="0" w:firstColumn="0" w:lastColumn="0" w:noHBand="0" w:noVBand="0" w:val="0020"/>
        <w:jc w:val="start"/>
        <w:tblCaption w:val="Median of the percentage of each resource type’s contribution to reserves available within 5 minutes and 30 minutes in every dispatch interval for each NSW scenario year. The median percentages are not necessarily coincident (i.e. from the same dispatch interval) and therefore may not sum to 100%. Furthermore, some distributions are long-tailed, so a median does not capture occasional reserve provision by a resource type (e.g. VRE, for which all medians are 0%). "/>
      </w:tblPr>
      <w:tblGrid>
        <w:gridCol w:w="1873"/>
        <w:gridCol w:w="936"/>
        <w:gridCol w:w="936"/>
        <w:gridCol w:w="936"/>
        <w:gridCol w:w="936"/>
        <w:gridCol w:w="936"/>
        <w:gridCol w:w="936"/>
      </w:tblGrid>
      <w:tr>
        <w:trPr>
          <w:tblHeader w:val="true"/>
        </w:trPr>
        <w:tc>
          <w:tcPr>
            <w:vMerge w:val="restart"/>
          </w:tcPr>
          <w:p>
            <w:pPr>
              <w:pStyle w:val="Compact"/>
              <w:jc w:val="center"/>
            </w:pPr>
            <w:r>
              <w:t xml:space="preserve">NSW resources</w:t>
            </w:r>
          </w:p>
        </w:tc>
        <w:tc>
          <w:tcPr>
            <w:gridSpan w:val="2"/>
          </w:tcPr>
          <w:p>
            <w:pPr>
              <w:pStyle w:val="Compact"/>
              <w:jc w:val="center"/>
            </w:pPr>
            <w:r>
              <w:t xml:space="preserve">2020</w:t>
            </w:r>
          </w:p>
        </w:tc>
        <w:tc>
          <w:tcPr>
            <w:gridSpan w:val="2"/>
          </w:tcPr>
          <w:p>
            <w:pPr>
              <w:pStyle w:val="Compact"/>
              <w:jc w:val="center"/>
            </w:pPr>
            <w:r>
              <w:t xml:space="preserve">2025 Central</w:t>
            </w:r>
          </w:p>
        </w:tc>
        <w:tc>
          <w:tcPr>
            <w:gridSpan w:val="2"/>
          </w:tcPr>
          <w:p>
            <w:pPr>
              <w:pStyle w:val="Compact"/>
              <w:jc w:val="center"/>
            </w:pPr>
            <w:r>
              <w:t xml:space="preserve">2025 Step Change</w:t>
            </w:r>
          </w:p>
        </w:tc>
      </w:tr>
      <w:tr>
        <w:trPr>
          <w:tblHeader w:val="true"/>
        </w:trPr>
        <w:tc>
          <w:tcPr>
            <w:gridSpan w:val="1"/>
            <w:vMerge w:val="continue"/>
          </w:tcPr>
          <w:p>
            <w:pPr/>
          </w:p>
        </w:tc>
        <w:tc>
          <w:tcPr/>
          <w:p>
            <w:pPr>
              <w:pStyle w:val="Compact"/>
              <w:jc w:val="center"/>
            </w:pPr>
            <w:r>
              <w:t xml:space="preserve">5 min</w:t>
            </w:r>
          </w:p>
        </w:tc>
        <w:tc>
          <w:tcPr/>
          <w:p>
            <w:pPr>
              <w:pStyle w:val="Compact"/>
              <w:jc w:val="center"/>
            </w:pPr>
            <w:r>
              <w:t xml:space="preserve">30 min</w:t>
            </w:r>
          </w:p>
        </w:tc>
        <w:tc>
          <w:tcPr/>
          <w:p>
            <w:pPr>
              <w:pStyle w:val="Compact"/>
              <w:jc w:val="center"/>
            </w:pPr>
            <w:r>
              <w:t xml:space="preserve">5 min</w:t>
            </w:r>
          </w:p>
        </w:tc>
        <w:tc>
          <w:tcPr/>
          <w:p>
            <w:pPr>
              <w:pStyle w:val="Compact"/>
              <w:jc w:val="center"/>
            </w:pPr>
            <w:r>
              <w:t xml:space="preserve">30 min</w:t>
            </w:r>
          </w:p>
        </w:tc>
        <w:tc>
          <w:tcPr/>
          <w:p>
            <w:pPr>
              <w:pStyle w:val="Compact"/>
              <w:jc w:val="center"/>
            </w:pPr>
            <w:r>
              <w:t xml:space="preserve">5 min</w:t>
            </w:r>
          </w:p>
        </w:tc>
        <w:tc>
          <w:tcPr/>
          <w:p>
            <w:pPr>
              <w:pStyle w:val="Compact"/>
              <w:jc w:val="center"/>
            </w:pPr>
            <w:r>
              <w:t xml:space="preserve">30 min</w:t>
            </w:r>
          </w:p>
        </w:tc>
      </w:tr>
      <w:tr>
        <w:tc>
          <w:tcPr/>
          <w:p>
            <w:pPr>
              <w:pStyle w:val="Compact"/>
              <w:jc w:val="center"/>
            </w:pPr>
            <w:r>
              <w:t xml:space="preserve">BESS (15 min)</w:t>
            </w:r>
          </w:p>
        </w:tc>
        <w:tc>
          <w:tcPr/>
          <w:p>
            <w:pPr>
              <w:pStyle w:val="Compact"/>
              <w:jc w:val="center"/>
            </w:pPr>
            <w:r>
              <w:t xml:space="preserve">0%</w:t>
            </w:r>
          </w:p>
        </w:tc>
        <w:tc>
          <w:tcPr/>
          <w:p>
            <w:pPr>
              <w:pStyle w:val="Compact"/>
              <w:jc w:val="center"/>
            </w:pPr>
            <w:r>
              <w:t xml:space="preserve">0%</w:t>
            </w:r>
          </w:p>
        </w:tc>
        <w:tc>
          <w:tcPr/>
          <w:p>
            <w:pPr>
              <w:pStyle w:val="Compact"/>
              <w:jc w:val="center"/>
            </w:pPr>
            <w:r>
              <w:t xml:space="preserve">2%</w:t>
            </w:r>
          </w:p>
        </w:tc>
        <w:tc>
          <w:tcPr/>
          <w:p>
            <w:pPr>
              <w:pStyle w:val="Compact"/>
              <w:jc w:val="center"/>
            </w:pPr>
            <w:r>
              <w:t xml:space="preserve">1%</w:t>
            </w:r>
          </w:p>
        </w:tc>
        <w:tc>
          <w:tcPr/>
          <w:p>
            <w:pPr>
              <w:pStyle w:val="Compact"/>
              <w:jc w:val="center"/>
            </w:pPr>
            <w:r>
              <w:t xml:space="preserve">16%</w:t>
            </w:r>
          </w:p>
        </w:tc>
        <w:tc>
          <w:tcPr/>
          <w:p>
            <w:pPr>
              <w:pStyle w:val="Compact"/>
              <w:jc w:val="center"/>
            </w:pPr>
            <w:r>
              <w:t xml:space="preserve">14%</w:t>
            </w:r>
          </w:p>
        </w:tc>
      </w:tr>
      <w:tr>
        <w:tc>
          <w:tcPr/>
          <w:p>
            <w:pPr>
              <w:pStyle w:val="Compact"/>
              <w:jc w:val="center"/>
            </w:pPr>
            <w:r>
              <w:t xml:space="preserve">DR</w:t>
            </w:r>
          </w:p>
        </w:tc>
        <w:tc>
          <w:tcPr/>
          <w:p>
            <w:pPr>
              <w:pStyle w:val="Compact"/>
              <w:jc w:val="center"/>
            </w:pPr>
            <w:r>
              <w:t xml:space="preserve">9%</w:t>
            </w:r>
          </w:p>
        </w:tc>
        <w:tc>
          <w:tcPr/>
          <w:p>
            <w:pPr>
              <w:pStyle w:val="Compact"/>
              <w:jc w:val="center"/>
            </w:pPr>
            <w:r>
              <w:t xml:space="preserve">5%</w:t>
            </w:r>
          </w:p>
        </w:tc>
        <w:tc>
          <w:tcPr/>
          <w:p>
            <w:pPr>
              <w:pStyle w:val="Compact"/>
              <w:jc w:val="center"/>
            </w:pPr>
            <w:r>
              <w:t xml:space="preserve">5%</w:t>
            </w:r>
          </w:p>
        </w:tc>
        <w:tc>
          <w:tcPr/>
          <w:p>
            <w:pPr>
              <w:pStyle w:val="Compact"/>
              <w:jc w:val="center"/>
            </w:pPr>
            <w:r>
              <w:t xml:space="preserve">4%</w:t>
            </w:r>
          </w:p>
        </w:tc>
        <w:tc>
          <w:tcPr/>
          <w:p>
            <w:pPr>
              <w:pStyle w:val="Compact"/>
              <w:jc w:val="center"/>
            </w:pPr>
            <w:r>
              <w:t xml:space="preserve">5%</w:t>
            </w:r>
          </w:p>
        </w:tc>
        <w:tc>
          <w:tcPr/>
          <w:p>
            <w:pPr>
              <w:pStyle w:val="Compact"/>
              <w:jc w:val="center"/>
            </w:pPr>
            <w:r>
              <w:t xml:space="preserve">4%</w:t>
            </w:r>
          </w:p>
        </w:tc>
      </w:tr>
      <w:tr>
        <w:tc>
          <w:tcPr/>
          <w:p>
            <w:pPr>
              <w:pStyle w:val="Compact"/>
              <w:jc w:val="center"/>
            </w:pPr>
            <w:r>
              <w:t xml:space="preserve">Hydro</w:t>
            </w:r>
          </w:p>
        </w:tc>
        <w:tc>
          <w:tcPr/>
          <w:p>
            <w:pPr>
              <w:pStyle w:val="Compact"/>
              <w:jc w:val="center"/>
            </w:pPr>
            <w:r>
              <w:t xml:space="preserve">74%</w:t>
            </w:r>
          </w:p>
        </w:tc>
        <w:tc>
          <w:tcPr/>
          <w:p>
            <w:pPr>
              <w:pStyle w:val="Compact"/>
              <w:jc w:val="center"/>
            </w:pPr>
            <w:r>
              <w:t xml:space="preserve">43%</w:t>
            </w:r>
          </w:p>
        </w:tc>
        <w:tc>
          <w:tcPr/>
          <w:p>
            <w:pPr>
              <w:pStyle w:val="Compact"/>
              <w:jc w:val="center"/>
            </w:pPr>
            <w:r>
              <w:t xml:space="preserve">81%</w:t>
            </w:r>
          </w:p>
        </w:tc>
        <w:tc>
          <w:tcPr/>
          <w:p>
            <w:pPr>
              <w:pStyle w:val="Compact"/>
              <w:jc w:val="center"/>
            </w:pPr>
            <w:r>
              <w:t xml:space="preserve">60%</w:t>
            </w:r>
          </w:p>
        </w:tc>
        <w:tc>
          <w:tcPr/>
          <w:p>
            <w:pPr>
              <w:pStyle w:val="Compact"/>
              <w:jc w:val="center"/>
            </w:pPr>
            <w:r>
              <w:t xml:space="preserve">71%</w:t>
            </w:r>
          </w:p>
        </w:tc>
        <w:tc>
          <w:tcPr/>
          <w:p>
            <w:pPr>
              <w:pStyle w:val="Compact"/>
              <w:jc w:val="center"/>
            </w:pPr>
            <w:r>
              <w:t xml:space="preserve">61%</w:t>
            </w:r>
          </w:p>
        </w:tc>
      </w:tr>
      <w:tr>
        <w:tc>
          <w:tcPr/>
          <w:p>
            <w:pPr>
              <w:pStyle w:val="Compact"/>
              <w:jc w:val="center"/>
            </w:pPr>
            <w:r>
              <w:t xml:space="preserve">Thermal</w:t>
            </w:r>
          </w:p>
        </w:tc>
        <w:tc>
          <w:tcPr/>
          <w:p>
            <w:pPr>
              <w:pStyle w:val="Compact"/>
              <w:jc w:val="center"/>
            </w:pPr>
            <w:r>
              <w:t xml:space="preserve">18%</w:t>
            </w:r>
          </w:p>
        </w:tc>
        <w:tc>
          <w:tcPr/>
          <w:p>
            <w:pPr>
              <w:pStyle w:val="Compact"/>
              <w:jc w:val="center"/>
            </w:pPr>
            <w:r>
              <w:t xml:space="preserve">52%</w:t>
            </w:r>
          </w:p>
        </w:tc>
        <w:tc>
          <w:tcPr/>
          <w:p>
            <w:pPr>
              <w:pStyle w:val="Compact"/>
              <w:jc w:val="center"/>
            </w:pPr>
            <w:r>
              <w:t xml:space="preserve">12%</w:t>
            </w:r>
          </w:p>
        </w:tc>
        <w:tc>
          <w:tcPr/>
          <w:p>
            <w:pPr>
              <w:pStyle w:val="Compact"/>
              <w:jc w:val="center"/>
            </w:pPr>
            <w:r>
              <w:t xml:space="preserve">34%</w:t>
            </w:r>
          </w:p>
        </w:tc>
        <w:tc>
          <w:tcPr/>
          <w:p>
            <w:pPr>
              <w:pStyle w:val="Compact"/>
              <w:jc w:val="center"/>
            </w:pPr>
            <w:r>
              <w:t xml:space="preserve">8%</w:t>
            </w:r>
          </w:p>
        </w:tc>
        <w:tc>
          <w:tcPr/>
          <w:p>
            <w:pPr>
              <w:pStyle w:val="Compact"/>
              <w:jc w:val="center"/>
            </w:pPr>
            <w:r>
              <w:t xml:space="preserve">19%</w:t>
            </w:r>
          </w:p>
        </w:tc>
      </w:tr>
    </w:tbl>
    <w:p/>
    <w:p>
      <w:pPr>
        <w:pStyle w:val="TableCaption"/>
      </w:pPr>
      <w:r>
        <w:t xml:space="preserve">Median of the percentage of each resource type’s contribution to reserves available within 5 minutes and 30 minutes in every dispatch interval for each SA scenario year. The median percentages are not necessarily coincident (i.e. from the same dispatch interval) and therefore may not sum to 100%. Furthermore, some distributions are long-tailed, so a median does not capture occasional reserve provision by a resource type (e.g. VRE, for which all medians are 0%).</w:t>
      </w:r>
      <w:r>
        <w:t xml:space="preserve"> </w:t>
      </w:r>
      <w:bookmarkStart w:id="174" w:name="tbl:sa_stel"/>
      <w:bookmarkEnd w:id="174"/>
    </w:p>
    <w:tbl>
      <w:tblPr>
        <w:tblStyle w:val="Table"/>
        <w:tblW w:type="pct" w:w="4731"/>
        <w:tblLook w:firstRow="1" w:lastRow="0" w:firstColumn="0" w:lastColumn="0" w:noHBand="0" w:noVBand="0" w:val="0020"/>
        <w:jc w:val="start"/>
        <w:tblCaption w:val="Median of the percentage of each resource type’s contribution to reserves available within 5 minutes and 30 minutes in every dispatch interval for each SA scenario year. The median percentages are not necessarily coincident (i.e. from the same dispatch interval) and therefore may not sum to 100%. Furthermore, some distributions are long-tailed, so a median does not capture occasional reserve provision by a resource type (e.g. VRE, for which all medians are 0%). "/>
      </w:tblPr>
      <w:tblGrid>
        <w:gridCol w:w="1873"/>
        <w:gridCol w:w="936"/>
        <w:gridCol w:w="936"/>
        <w:gridCol w:w="936"/>
        <w:gridCol w:w="936"/>
        <w:gridCol w:w="936"/>
        <w:gridCol w:w="936"/>
      </w:tblGrid>
      <w:tr>
        <w:trPr>
          <w:tblHeader w:val="true"/>
        </w:trPr>
        <w:tc>
          <w:tcPr>
            <w:vMerge w:val="restart"/>
          </w:tcPr>
          <w:p>
            <w:pPr>
              <w:pStyle w:val="Compact"/>
              <w:jc w:val="center"/>
            </w:pPr>
            <w:r>
              <w:t xml:space="preserve">SA resources</w:t>
            </w:r>
          </w:p>
        </w:tc>
        <w:tc>
          <w:tcPr>
            <w:gridSpan w:val="2"/>
          </w:tcPr>
          <w:p>
            <w:pPr>
              <w:pStyle w:val="Compact"/>
              <w:jc w:val="center"/>
            </w:pPr>
            <w:r>
              <w:t xml:space="preserve">2020</w:t>
            </w:r>
          </w:p>
        </w:tc>
        <w:tc>
          <w:tcPr>
            <w:gridSpan w:val="2"/>
          </w:tcPr>
          <w:p>
            <w:pPr>
              <w:pStyle w:val="Compact"/>
              <w:jc w:val="center"/>
            </w:pPr>
            <w:r>
              <w:t xml:space="preserve">2025 Central</w:t>
            </w:r>
          </w:p>
        </w:tc>
        <w:tc>
          <w:tcPr>
            <w:gridSpan w:val="2"/>
          </w:tcPr>
          <w:p>
            <w:pPr>
              <w:pStyle w:val="Compact"/>
              <w:jc w:val="left"/>
            </w:pPr>
            <w:r>
              <w:t xml:space="preserve">2025 Step Change</w:t>
            </w:r>
          </w:p>
        </w:tc>
      </w:tr>
      <w:tr>
        <w:trPr>
          <w:tblHeader w:val="true"/>
        </w:trPr>
        <w:tc>
          <w:tcPr>
            <w:gridSpan w:val="1"/>
            <w:vMerge w:val="continue"/>
          </w:tcPr>
          <w:p>
            <w:pPr/>
          </w:p>
        </w:tc>
        <w:tc>
          <w:tcPr/>
          <w:p>
            <w:pPr>
              <w:pStyle w:val="Compact"/>
              <w:jc w:val="center"/>
            </w:pPr>
            <w:r>
              <w:t xml:space="preserve">5 min</w:t>
            </w:r>
          </w:p>
        </w:tc>
        <w:tc>
          <w:tcPr/>
          <w:p>
            <w:pPr>
              <w:pStyle w:val="Compact"/>
              <w:jc w:val="center"/>
            </w:pPr>
            <w:r>
              <w:t xml:space="preserve">30 min</w:t>
            </w:r>
          </w:p>
        </w:tc>
        <w:tc>
          <w:tcPr/>
          <w:p>
            <w:pPr>
              <w:pStyle w:val="Compact"/>
              <w:jc w:val="center"/>
            </w:pPr>
            <w:r>
              <w:t xml:space="preserve">5 min</w:t>
            </w:r>
          </w:p>
        </w:tc>
        <w:tc>
          <w:tcPr/>
          <w:p>
            <w:pPr>
              <w:pStyle w:val="Compact"/>
              <w:jc w:val="center"/>
            </w:pPr>
            <w:r>
              <w:t xml:space="preserve">30 min</w:t>
            </w:r>
          </w:p>
        </w:tc>
        <w:tc>
          <w:tcPr/>
          <w:p>
            <w:pPr>
              <w:pStyle w:val="Compact"/>
              <w:jc w:val="left"/>
            </w:pPr>
            <w:r>
              <w:t xml:space="preserve">5 min</w:t>
            </w:r>
          </w:p>
        </w:tc>
        <w:tc>
          <w:tcPr/>
          <w:p>
            <w:pPr>
              <w:pStyle w:val="Compact"/>
              <w:jc w:val="center"/>
            </w:pPr>
            <w:r>
              <w:t xml:space="preserve">30 min</w:t>
            </w:r>
          </w:p>
        </w:tc>
      </w:tr>
      <w:tr>
        <w:tc>
          <w:tcPr/>
          <w:p>
            <w:pPr>
              <w:pStyle w:val="Compact"/>
              <w:jc w:val="center"/>
            </w:pPr>
            <w:r>
              <w:t xml:space="preserve">BESS (15 min)</w:t>
            </w:r>
          </w:p>
        </w:tc>
        <w:tc>
          <w:tcPr/>
          <w:p>
            <w:pPr>
              <w:pStyle w:val="Compact"/>
              <w:jc w:val="center"/>
            </w:pPr>
            <w:r>
              <w:t xml:space="preserve">14%</w:t>
            </w:r>
          </w:p>
        </w:tc>
        <w:tc>
          <w:tcPr/>
          <w:p>
            <w:pPr>
              <w:pStyle w:val="Compact"/>
              <w:jc w:val="center"/>
            </w:pPr>
            <w:r>
              <w:t xml:space="preserve">6%</w:t>
            </w:r>
          </w:p>
        </w:tc>
        <w:tc>
          <w:tcPr/>
          <w:p>
            <w:pPr>
              <w:pStyle w:val="Compact"/>
              <w:jc w:val="center"/>
            </w:pPr>
            <w:r>
              <w:t xml:space="preserve">24%</w:t>
            </w:r>
          </w:p>
        </w:tc>
        <w:tc>
          <w:tcPr/>
          <w:p>
            <w:pPr>
              <w:pStyle w:val="Compact"/>
              <w:jc w:val="center"/>
            </w:pPr>
            <w:r>
              <w:t xml:space="preserve">10%</w:t>
            </w:r>
          </w:p>
        </w:tc>
        <w:tc>
          <w:tcPr/>
          <w:p>
            <w:pPr>
              <w:pStyle w:val="Compact"/>
              <w:jc w:val="left"/>
            </w:pPr>
            <w:r>
              <w:t xml:space="preserve">40%</w:t>
            </w:r>
          </w:p>
        </w:tc>
        <w:tc>
          <w:tcPr/>
          <w:p>
            <w:pPr>
              <w:pStyle w:val="Compact"/>
              <w:jc w:val="center"/>
            </w:pPr>
            <w:r>
              <w:t xml:space="preserve">20%</w:t>
            </w:r>
          </w:p>
        </w:tc>
      </w:tr>
      <w:tr>
        <w:tc>
          <w:tcPr/>
          <w:p>
            <w:pPr>
              <w:pStyle w:val="Compact"/>
              <w:jc w:val="center"/>
            </w:pPr>
            <w:r>
              <w:t xml:space="preserve">DR</w:t>
            </w:r>
          </w:p>
        </w:tc>
        <w:tc>
          <w:tcPr/>
          <w:p>
            <w:pPr>
              <w:pStyle w:val="Compact"/>
              <w:jc w:val="center"/>
            </w:pPr>
            <w:r>
              <w:t xml:space="preserve">7%</w:t>
            </w:r>
          </w:p>
        </w:tc>
        <w:tc>
          <w:tcPr/>
          <w:p>
            <w:pPr>
              <w:pStyle w:val="Compact"/>
              <w:jc w:val="center"/>
            </w:pPr>
            <w:r>
              <w:t xml:space="preserve">3%</w:t>
            </w:r>
          </w:p>
        </w:tc>
        <w:tc>
          <w:tcPr/>
          <w:p>
            <w:pPr>
              <w:pStyle w:val="Compact"/>
              <w:jc w:val="center"/>
            </w:pPr>
            <w:r>
              <w:t xml:space="preserve">7%</w:t>
            </w:r>
          </w:p>
        </w:tc>
        <w:tc>
          <w:tcPr/>
          <w:p>
            <w:pPr>
              <w:pStyle w:val="Compact"/>
              <w:jc w:val="center"/>
            </w:pPr>
            <w:r>
              <w:t xml:space="preserve">3%</w:t>
            </w:r>
          </w:p>
        </w:tc>
        <w:tc>
          <w:tcPr/>
          <w:p>
            <w:pPr>
              <w:pStyle w:val="Compact"/>
              <w:jc w:val="left"/>
            </w:pPr>
            <w:r>
              <w:t xml:space="preserve">5%</w:t>
            </w:r>
          </w:p>
        </w:tc>
        <w:tc>
          <w:tcPr/>
          <w:p>
            <w:pPr>
              <w:pStyle w:val="Compact"/>
              <w:jc w:val="center"/>
            </w:pPr>
            <w:r>
              <w:t xml:space="preserve">3%</w:t>
            </w:r>
          </w:p>
        </w:tc>
      </w:tr>
      <w:tr>
        <w:tc>
          <w:tcPr/>
          <w:p>
            <w:pPr>
              <w:pStyle w:val="Compact"/>
              <w:jc w:val="center"/>
            </w:pPr>
            <w:r>
              <w:t xml:space="preserve">Thermal</w:t>
            </w:r>
          </w:p>
        </w:tc>
        <w:tc>
          <w:tcPr/>
          <w:p>
            <w:pPr>
              <w:pStyle w:val="Compact"/>
              <w:jc w:val="center"/>
            </w:pPr>
            <w:r>
              <w:t xml:space="preserve">71%</w:t>
            </w:r>
          </w:p>
        </w:tc>
        <w:tc>
          <w:tcPr/>
          <w:p>
            <w:pPr>
              <w:pStyle w:val="Compact"/>
              <w:jc w:val="center"/>
            </w:pPr>
            <w:r>
              <w:t xml:space="preserve">88%</w:t>
            </w:r>
          </w:p>
        </w:tc>
        <w:tc>
          <w:tcPr/>
          <w:p>
            <w:pPr>
              <w:pStyle w:val="Compact"/>
              <w:jc w:val="center"/>
            </w:pPr>
            <w:r>
              <w:t xml:space="preserve">61%</w:t>
            </w:r>
          </w:p>
        </w:tc>
        <w:tc>
          <w:tcPr/>
          <w:p>
            <w:pPr>
              <w:pStyle w:val="Compact"/>
              <w:jc w:val="center"/>
            </w:pPr>
            <w:r>
              <w:t xml:space="preserve">84%</w:t>
            </w:r>
          </w:p>
        </w:tc>
        <w:tc>
          <w:tcPr/>
          <w:p>
            <w:pPr>
              <w:pStyle w:val="Compact"/>
              <w:jc w:val="left"/>
            </w:pPr>
            <w:r>
              <w:t xml:space="preserve">45%</w:t>
            </w:r>
          </w:p>
        </w:tc>
        <w:tc>
          <w:tcPr/>
          <w:p>
            <w:pPr>
              <w:pStyle w:val="Compact"/>
              <w:jc w:val="center"/>
            </w:pPr>
            <w:r>
              <w:t xml:space="preserve">73%</w:t>
            </w:r>
          </w:p>
        </w:tc>
      </w:tr>
    </w:tbl>
    <w:bookmarkEnd w:id="175"/>
    <w:bookmarkEnd w:id="176"/>
    <w:bookmarkStart w:id="178" w:name="the-role-of-balancing-products"/>
    <w:p>
      <w:pPr>
        <w:pStyle w:val="Heading3"/>
      </w:pPr>
      <w:r>
        <w:rPr>
          <w:rStyle w:val="SectionNumber"/>
        </w:rPr>
        <w:t xml:space="preserve">7.7.3</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1"/>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177"/>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1"/>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5.7.2.4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5.7.2.3).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178"/>
    <w:bookmarkEnd w:id="179"/>
    <w:bookmarkStart w:id="180" w:name="sec:reserves-conclusion"/>
    <w:p>
      <w:pPr>
        <w:pStyle w:val="Heading2"/>
      </w:pPr>
      <w:r>
        <w:rPr>
          <w:rStyle w:val="SectionNumber"/>
        </w:rPr>
        <w:t xml:space="preserve">7.8</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180"/>
    <w:bookmarkEnd w:id="181"/>
    <w:bookmarkStart w:id="187" w:name="sec:fourth"/>
    <w:p>
      <w:pPr>
        <w:pStyle w:val="Heading1"/>
      </w:pPr>
      <w:r>
        <w:rPr>
          <w:rStyle w:val="SectionNumber"/>
        </w:rPr>
        <w:t xml:space="preserve">8</w:t>
      </w:r>
      <w:r>
        <w:tab/>
      </w:r>
      <w:r>
        <w:t xml:space="preserve">Final research study</w:t>
      </w:r>
    </w:p>
    <w:bookmarkStart w:id="182" w:name="introduction-3"/>
    <w:p>
      <w:pPr>
        <w:pStyle w:val="Heading2"/>
      </w:pPr>
      <w:r>
        <w:rPr>
          <w:rStyle w:val="SectionNumber"/>
        </w:rPr>
        <w:t xml:space="preserve">8.1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182"/>
    <w:bookmarkStart w:id="183" w:name="method-1"/>
    <w:p>
      <w:pPr>
        <w:pStyle w:val="Heading2"/>
      </w:pPr>
      <w:r>
        <w:rPr>
          <w:rStyle w:val="SectionNumber"/>
        </w:rPr>
        <w:t xml:space="preserve">8.2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End w:id="183"/>
    <w:bookmarkStart w:id="184" w:name="results-1"/>
    <w:p>
      <w:pPr>
        <w:pStyle w:val="Heading2"/>
      </w:pPr>
      <w:r>
        <w:rPr>
          <w:rStyle w:val="SectionNumber"/>
        </w:rPr>
        <w:t xml:space="preserve">8.3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184"/>
    <w:bookmarkStart w:id="185" w:name="discussion-1"/>
    <w:p>
      <w:pPr>
        <w:pStyle w:val="Heading2"/>
      </w:pPr>
      <w:r>
        <w:rPr>
          <w:rStyle w:val="SectionNumber"/>
        </w:rPr>
        <w:t xml:space="preserve">8.4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185"/>
    <w:bookmarkStart w:id="186" w:name="conclusion-3"/>
    <w:p>
      <w:pPr>
        <w:pStyle w:val="Heading2"/>
      </w:pPr>
      <w:r>
        <w:rPr>
          <w:rStyle w:val="SectionNumber"/>
        </w:rPr>
        <w:t xml:space="preserve">8.5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186"/>
    <w:bookmarkEnd w:id="187"/>
    <w:bookmarkStart w:id="190" w:name="sec:conclusion"/>
    <w:p>
      <w:pPr>
        <w:pStyle w:val="Heading1"/>
      </w:pPr>
      <w:r>
        <w:rPr>
          <w:rStyle w:val="SectionNumber"/>
        </w:rPr>
        <w:t xml:space="preserve">9</w:t>
      </w:r>
      <w:r>
        <w:tab/>
      </w:r>
      <w:r>
        <w:t xml:space="preserve">Conclusion</w:t>
      </w:r>
    </w:p>
    <w:bookmarkStart w:id="188"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188"/>
    <w:bookmarkStart w:id="189"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189"/>
    <w:bookmarkEnd w:id="190"/>
    <w:bookmarkStart w:id="207" w:name="X79d4964e2d76d0384256ac8f0c0adc20d1650ff"/>
    <w:p>
      <w:pPr>
        <w:pStyle w:val="Heading1"/>
      </w:pPr>
      <w:r>
        <w:rPr>
          <w:rStyle w:val="SectionNumber"/>
        </w:rPr>
        <w:t xml:space="preserve">10</w:t>
      </w:r>
      <w:r>
        <w:tab/>
      </w:r>
      <w:r>
        <w:t xml:space="preserve">Data and assumptions used in market simulation</w:t>
      </w:r>
    </w:p>
    <w:bookmarkStart w:id="195"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191"/>
      </w:r>
      <w:r>
        <w:t xml:space="preserve"> </w:t>
      </w:r>
      <w:r>
        <w:t xml:space="preserve">in 2020, and the upper ramp rate was calculated using resources’ assumed maximum ramp rates in AEMO’s 2020 Inputs and Assumptions workbook (for an example of a comparison, see Figure 15)</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193" name="Picture"/>
            <a:graphic>
              <a:graphicData uri="http://schemas.openxmlformats.org/drawingml/2006/picture">
                <pic:pic>
                  <pic:nvPicPr>
                    <pic:cNvPr descr="source/figures/coal_market_upper_ramps.png" id="194" name="Picture"/>
                    <pic:cNvPicPr>
                      <a:picLocks noChangeArrowheads="1" noChangeAspect="1"/>
                    </pic:cNvPicPr>
                  </pic:nvPicPr>
                  <pic:blipFill>
                    <a:blip r:embed="rId192"/>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15: Ramp rates observed (red) and used in dispatch by AEMO (blue) for a coal-fired unit in NSW in 2020. The green line denotes the ramp rate assumed by AEMO in its 2020 Inputs and Assumptions workbook and the 2020 ISP.</w:t>
      </w:r>
    </w:p>
    <w:bookmarkEnd w:id="195"/>
    <w:bookmarkStart w:id="196"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2021q</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196"/>
    <w:bookmarkStart w:id="197"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w:t>
      </w:r>
    </w:p>
    <w:bookmarkEnd w:id="197"/>
    <w:bookmarkStart w:id="198"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2022d</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2022d</w:t>
        </w:r>
      </w:hyperlink>
      <w:r>
        <w:t xml:space="preserve">)</w:t>
      </w:r>
      <w:r>
        <w:t xml:space="preserve">.</w:t>
      </w:r>
    </w:p>
    <w:bookmarkEnd w:id="198"/>
    <w:bookmarkStart w:id="199"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199"/>
    <w:bookmarkStart w:id="200"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200"/>
    <w:bookmarkStart w:id="206"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2)</w:t>
      </w:r>
      <w:r>
        <w:t xml:space="preserve"> </w:t>
      </w:r>
      <w:r>
        <w:rPr>
          <w:rStyle w:val="FootnoteReference"/>
        </w:rPr>
        <w:footnoteReference w:id="201"/>
      </w:r>
      <w:r>
        <w:t xml:space="preserve">:</w:t>
      </w:r>
    </w:p>
    <w:p>
      <w:pPr>
        <w:numPr>
          <w:ilvl w:val="0"/>
          <w:numId w:val="1032"/>
        </w:numPr>
        <w:pStyle w:val="Compact"/>
      </w:pPr>
      <w:r>
        <w:t xml:space="preserve">For wind and solar PV generators, the entire available forecasted energy was offered at the market floor price to ensure preferential dispatch of VRE where possible.</w:t>
      </w:r>
    </w:p>
    <w:p>
      <w:pPr>
        <w:numPr>
          <w:ilvl w:val="0"/>
          <w:numId w:val="1032"/>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The third band was priced at a premium relative to the resource’s SRMC and the fourth band was offered at the market cap price.</w:t>
      </w:r>
    </w:p>
    <w:p>
      <w:pPr>
        <w:numPr>
          <w:ilvl w:val="0"/>
          <w:numId w:val="1032"/>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32"/>
        </w:numPr>
        <w:pStyle w:val="Compact"/>
      </w:pPr>
      <w:r>
        <w:t xml:space="preserve">Hydro generation offers were adjusted iteratively to align the proportions of annual generation and average market prices of the NSW 2020 scenario with those calculated from historical data.</w:t>
      </w:r>
    </w:p>
    <w:bookmarkStart w:id="202" w:name="tbl:resourceoffers"/>
    <w:p>
      <w:pPr>
        <w:pStyle w:val="TableCaption"/>
      </w:pPr>
      <w:r>
        <w:t xml:space="preserve">Table 2: Offers by resources type for NSW and SA across all scenarios. The market floor and cap prices used were -1000 AUD/MW/hr and 15,000 AUD/MW/hr, respectively.</w:t>
      </w:r>
    </w:p>
    <w:tbl>
      <w:tblPr>
        <w:tblStyle w:val="Table"/>
        <w:tblW w:type="pct" w:w="5000"/>
        <w:tblLook w:firstRow="1" w:lastRow="0" w:firstColumn="0" w:lastColumn="0" w:noHBand="0" w:noVBand="0" w:val="0020"/>
        <w:jc w:val="start"/>
        <w:tblCaption w:val="Table 2: Offers by resources type for NSW and SA across all scenarios. The market floor and cap prices used were -1000 AUD/MW/hr and 15,000 AUD/MW/hr, respectively."/>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End w:id="202"/>
    <w:bookmarkStart w:id="205"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3 and Table 4, respectively.</w:t>
      </w:r>
    </w:p>
    <w:bookmarkStart w:id="203" w:name="tbl:nswcalibration"/>
    <w:p>
      <w:pPr>
        <w:pStyle w:val="TableCaption"/>
      </w:pPr>
      <w:r>
        <w:t xml:space="preserve">Table 3: 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tbl>
      <w:tblPr>
        <w:tblStyle w:val="Table"/>
        <w:tblW w:type="auto" w:w="0"/>
        <w:tblLook w:firstRow="1" w:lastRow="0" w:firstColumn="0" w:lastColumn="0" w:noHBand="0" w:noVBand="0" w:val="0020"/>
        <w:jc w:val="start"/>
        <w:tblCaption w:val="Table 3: Percentage of annual generation by resource type for the simulated NSW 2020 scenario and for NSW in 2020 (calculated based on historical data obtained using NEMOSIS (Gorman et al., 2018))."/>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bookmarkEnd w:id="203"/>
    <w:bookmarkStart w:id="204" w:name="tbl:sacalibration"/>
    <w:p>
      <w:pPr>
        <w:pStyle w:val="TableCaption"/>
      </w:pPr>
      <w:r>
        <w:t xml:space="preserve">Table 4: 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p>
    <w:tbl>
      <w:tblPr>
        <w:tblStyle w:val="Table"/>
        <w:tblW w:type="pct" w:w="5000"/>
        <w:tblLook w:firstRow="1" w:lastRow="0" w:firstColumn="0" w:lastColumn="0" w:noHBand="0" w:noVBand="0" w:val="0020"/>
        <w:jc w:val="start"/>
        <w:tblCaption w:val="Table 4: Percentage of annual generation by resource type for the simulated SA 2020 scenario and for SA in 2020 (calculated based on historical data obtained using NEMOSIS (Gorman et al., 2018)). Note that percentages may not sum to a total of 100% due to net storage in BESS."/>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204"/>
    <w:bookmarkEnd w:id="205"/>
    <w:bookmarkEnd w:id="206"/>
    <w:bookmarkEnd w:id="207"/>
    <w:bookmarkStart w:id="208" w:name="some-more-extra-stuff"/>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208"/>
    <w:bookmarkStart w:id="558" w:name="references"/>
    <w:p>
      <w:pPr>
        <w:pStyle w:val="Heading1"/>
      </w:pPr>
      <w:r>
        <w:t xml:space="preserve">References</w:t>
      </w:r>
    </w:p>
    <w:bookmarkStart w:id="557" w:name="refs"/>
    <w:bookmarkStart w:id="209"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 (No. November).</w:t>
      </w:r>
    </w:p>
    <w:bookmarkEnd w:id="209"/>
    <w:bookmarkStart w:id="210" w:name="X5a70db932ff4717cfbc30f6fe285191ec112a17"/>
    <w:p>
      <w:pPr>
        <w:pStyle w:val="Bibliography"/>
      </w:pPr>
      <w:r>
        <w:t xml:space="preserve">Abbasy, A., 2012. National</w:t>
      </w:r>
      <w:r>
        <w:t xml:space="preserve"> </w:t>
      </w:r>
      <w:r>
        <w:t xml:space="preserve">Design</w:t>
      </w:r>
      <w:r>
        <w:t xml:space="preserve"> </w:t>
      </w:r>
      <w:r>
        <w:t xml:space="preserve">and</w:t>
      </w:r>
      <w:r>
        <w:t xml:space="preserve"> </w:t>
      </w:r>
      <w:r>
        <w:t xml:space="preserve">Multinational Integration</w:t>
      </w:r>
      <w:r>
        <w:t xml:space="preserve"> </w:t>
      </w:r>
      <w:r>
        <w:t xml:space="preserve">of</w:t>
      </w:r>
      <w:r>
        <w:t xml:space="preserve"> </w:t>
      </w:r>
      <w:r>
        <w:t xml:space="preserve">Balancing Services Markets</w:t>
      </w:r>
      <w:r>
        <w:t xml:space="preserve"> </w:t>
      </w:r>
      <w:r>
        <w:t xml:space="preserve">(PhD thesis). TU Delft.</w:t>
      </w:r>
    </w:p>
    <w:bookmarkEnd w:id="210"/>
    <w:bookmarkStart w:id="212"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211">
        <w:r>
          <w:rPr>
            <w:rStyle w:val="Hyperlink"/>
          </w:rPr>
          <w:t xml:space="preserve">https://doi.org/10.2139/ssrn.3302569</w:t>
        </w:r>
      </w:hyperlink>
    </w:p>
    <w:bookmarkEnd w:id="212"/>
    <w:bookmarkStart w:id="213" w:name="ref-akramEnergyStorageShortTerm2020"/>
    <w:p>
      <w:pPr>
        <w:pStyle w:val="Bibliography"/>
      </w:pPr>
      <w:r>
        <w:t xml:space="preserve">Akram, U., Mithulananthan, N., Shah, R., Basit, S.A., 2020. Energy</w:t>
      </w:r>
      <w:r>
        <w:t xml:space="preserve"> </w:t>
      </w:r>
      <w:r>
        <w:t xml:space="preserve">Storage</w:t>
      </w:r>
      <w:r>
        <w:t xml:space="preserve"> </w:t>
      </w:r>
      <w:r>
        <w:t xml:space="preserve">for</w:t>
      </w:r>
      <w:r>
        <w:t xml:space="preserve"> </w:t>
      </w:r>
      <w:r>
        <w:t xml:space="preserve">Short-Term Frequency Stability Enhancement</w:t>
      </w:r>
      <w:r>
        <w:t xml:space="preserve"> </w:t>
      </w:r>
      <w:r>
        <w:t xml:space="preserve">in</w:t>
      </w:r>
      <w:r>
        <w:t xml:space="preserve"> </w:t>
      </w:r>
      <w:r>
        <w:t xml:space="preserve">Low-Inertia Power Systems</w:t>
      </w:r>
      <w:r>
        <w:t xml:space="preserve">. 2020 Australasian Universities Power Engineering Conference (AUPEC).</w:t>
      </w:r>
    </w:p>
    <w:bookmarkEnd w:id="213"/>
    <w:bookmarkStart w:id="214" w:name="X77edcbed99f6f778ba79668b9dd9185179dad4a"/>
    <w:p>
      <w:pPr>
        <w:pStyle w:val="Bibliography"/>
      </w:pPr>
      <w:r>
        <w:t xml:space="preserve">ASX Energy, 2021. Australian</w:t>
      </w:r>
      <w:r>
        <w:t xml:space="preserve"> </w:t>
      </w:r>
      <w:r>
        <w:t xml:space="preserve">Electricity Market Overview</w:t>
      </w:r>
      <w:r>
        <w:t xml:space="preserve"> </w:t>
      </w:r>
      <w:r>
        <w:t xml:space="preserve">-</w:t>
      </w:r>
      <w:r>
        <w:t xml:space="preserve"> </w:t>
      </w:r>
      <w:r>
        <w:t xml:space="preserve">Energy Derivatives</w:t>
      </w:r>
      <w:r>
        <w:t xml:space="preserve">.</w:t>
      </w:r>
    </w:p>
    <w:bookmarkEnd w:id="214"/>
    <w:bookmarkStart w:id="215" w:name="ref-aureconLargeScaleBatteryStorage2019"/>
    <w:p>
      <w:pPr>
        <w:pStyle w:val="Bibliography"/>
      </w:pPr>
      <w:r>
        <w:t xml:space="preserve">Aurecon, 2019. Large-</w:t>
      </w:r>
      <w:r>
        <w:t xml:space="preserve">Scale Battery Storage Knowledge Sharing Report</w:t>
      </w:r>
      <w:r>
        <w:t xml:space="preserve">.</w:t>
      </w:r>
      <w:r>
        <w:t xml:space="preserve"> </w:t>
      </w:r>
      <w:r>
        <w:t xml:space="preserve">ARENA</w:t>
      </w:r>
      <w:r>
        <w:t xml:space="preserve">.</w:t>
      </w:r>
    </w:p>
    <w:bookmarkEnd w:id="215"/>
    <w:bookmarkStart w:id="216" w:name="Xd02ea3f7bd4fee6de3a6c1d76c7696f271a845d"/>
    <w:p>
      <w:pPr>
        <w:pStyle w:val="Bibliography"/>
      </w:pPr>
      <w:r>
        <w:t xml:space="preserve">Aurecon Australasia, 2020. Generator</w:t>
      </w:r>
      <w:r>
        <w:t xml:space="preserve"> </w:t>
      </w:r>
      <w:r>
        <w:t xml:space="preserve">Technical</w:t>
      </w:r>
      <w:r>
        <w:t xml:space="preserve"> </w:t>
      </w:r>
      <w:r>
        <w:t xml:space="preserve">and</w:t>
      </w:r>
      <w:r>
        <w:t xml:space="preserve"> </w:t>
      </w:r>
      <w:r>
        <w:t xml:space="preserve">Cost Parameters</w:t>
      </w:r>
      <w:r>
        <w:t xml:space="preserve"> </w:t>
      </w:r>
      <w:r>
        <w:t xml:space="preserve">-</w:t>
      </w:r>
      <w:r>
        <w:t xml:space="preserve"> </w:t>
      </w:r>
      <w:r>
        <w:t xml:space="preserve">ElectraNet</w:t>
      </w:r>
      <w:r>
        <w:t xml:space="preserve">.</w:t>
      </w:r>
    </w:p>
    <w:bookmarkEnd w:id="216"/>
    <w:bookmarkStart w:id="217" w:name="X283bd1f9c04cb560ec04fb7242924b44581eae3"/>
    <w:p>
      <w:pPr>
        <w:pStyle w:val="Bibliography"/>
      </w:pPr>
      <w:r>
        <w:t xml:space="preserve">Australian Energy Market Commission, n.d.b. Electricity supply chain. AEMC.</w:t>
      </w:r>
    </w:p>
    <w:bookmarkEnd w:id="217"/>
    <w:bookmarkStart w:id="218" w:name="X520e518fc5bb21bb6fbac8c9ae07c1cca4e9089"/>
    <w:p>
      <w:pPr>
        <w:pStyle w:val="Bibliography"/>
      </w:pPr>
      <w:r>
        <w:t xml:space="preserve">Australian Energy Market Commission, n.d.a. National</w:t>
      </w:r>
      <w:r>
        <w:t xml:space="preserve"> </w:t>
      </w:r>
      <w:r>
        <w:t xml:space="preserve">Electricity Market</w:t>
      </w:r>
      <w:r>
        <w:t xml:space="preserve">.</w:t>
      </w:r>
    </w:p>
    <w:bookmarkEnd w:id="218"/>
    <w:bookmarkStart w:id="219" w:name="X8acf9a26c7b13f75647e96408c7da2f2a289169"/>
    <w:p>
      <w:pPr>
        <w:pStyle w:val="Bibliography"/>
      </w:pPr>
      <w:r>
        <w:t xml:space="preserve">Australian Energy Market Commission, 2022. Updating</w:t>
      </w:r>
      <w:r>
        <w:t xml:space="preserve"> </w:t>
      </w:r>
      <w:r>
        <w:t xml:space="preserve">Short Term PASA</w:t>
      </w:r>
      <w:r>
        <w:t xml:space="preserve">,</w:t>
      </w:r>
      <w:r>
        <w:t xml:space="preserve"> </w:t>
      </w:r>
      <w:r>
        <w:t xml:space="preserve">Rule</w:t>
      </w:r>
      <w:r>
        <w:t xml:space="preserve"> </w:t>
      </w:r>
      <w:r>
        <w:t xml:space="preserve">determination.</w:t>
      </w:r>
    </w:p>
    <w:bookmarkEnd w:id="219"/>
    <w:bookmarkStart w:id="220"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220"/>
    <w:bookmarkStart w:id="221"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221"/>
    <w:bookmarkStart w:id="222" w:name="X4e15fbfc9c73a2296d46b736a9c7d1a5654655e"/>
    <w:p>
      <w:pPr>
        <w:pStyle w:val="Bibliography"/>
      </w:pPr>
      <w:r>
        <w:t xml:space="preserve">Australian Energy Market Commission, 2021c. Reserve services in the</w:t>
      </w:r>
      <w:r>
        <w:t xml:space="preserve"> </w:t>
      </w:r>
      <w:r>
        <w:t xml:space="preserve">National Electricity Market</w:t>
      </w:r>
      <w:r>
        <w:t xml:space="preserve">,</w:t>
      </w:r>
      <w:r>
        <w:t xml:space="preserve"> </w:t>
      </w:r>
      <w:r>
        <w:t xml:space="preserve">Directions Paper</w:t>
      </w:r>
      <w:r>
        <w:t xml:space="preserve">.</w:t>
      </w:r>
    </w:p>
    <w:bookmarkEnd w:id="222"/>
    <w:bookmarkStart w:id="223"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w:t>
      </w:r>
    </w:p>
    <w:bookmarkEnd w:id="223"/>
    <w:bookmarkStart w:id="224" w:name="X55ac5d59022fb8fc127e5e4f8e1b2f3c3feff8c"/>
    <w:p>
      <w:pPr>
        <w:pStyle w:val="Bibliography"/>
      </w:pPr>
      <w:r>
        <w:t xml:space="preserve">Australian Energy Market Commission, 2020c. Frequency control rule changes.</w:t>
      </w:r>
    </w:p>
    <w:bookmarkEnd w:id="224"/>
    <w:bookmarkStart w:id="225"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225"/>
    <w:bookmarkStart w:id="226" w:name="Xd4142d84741b5aa209fba18468ec215bc2183cf"/>
    <w:p>
      <w:pPr>
        <w:pStyle w:val="Bibliography"/>
      </w:pPr>
      <w:r>
        <w:t xml:space="preserve">Australian Energy Market Commission, 2020d. Short</w:t>
      </w:r>
      <w:r>
        <w:t xml:space="preserve"> </w:t>
      </w:r>
      <w:r>
        <w:t xml:space="preserve">Term Forward Market</w:t>
      </w:r>
      <w:r>
        <w:t xml:space="preserve">,</w:t>
      </w:r>
      <w:r>
        <w:t xml:space="preserve"> </w:t>
      </w:r>
      <w:r>
        <w:t xml:space="preserve">Rule</w:t>
      </w:r>
      <w:r>
        <w:t xml:space="preserve"> </w:t>
      </w:r>
      <w:r>
        <w:t xml:space="preserve">determination.</w:t>
      </w:r>
    </w:p>
    <w:bookmarkEnd w:id="226"/>
    <w:bookmarkStart w:id="227"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227"/>
    <w:bookmarkStart w:id="228"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228"/>
    <w:bookmarkStart w:id="229" w:name="Xb3436a2eee6cc81ec2eed9434eec7793f348374"/>
    <w:p>
      <w:pPr>
        <w:pStyle w:val="Bibliography"/>
      </w:pPr>
      <w:r>
        <w:t xml:space="preserve">Australian Energy Market Commission, 2017. Non-scheduled generation and load in central dispatch,</w:t>
      </w:r>
      <w:r>
        <w:t xml:space="preserve"> </w:t>
      </w:r>
      <w:r>
        <w:t xml:space="preserve">Rule Determination</w:t>
      </w:r>
      <w:r>
        <w:t xml:space="preserve">.</w:t>
      </w:r>
    </w:p>
    <w:bookmarkEnd w:id="229"/>
    <w:bookmarkStart w:id="230" w:name="X122c867e6dde1f00e4486b24c752821f4d73d2a"/>
    <w:p>
      <w:pPr>
        <w:pStyle w:val="Bibliography"/>
      </w:pPr>
      <w:r>
        <w:t xml:space="preserve">Australian Energy Market Commission, 2016. National</w:t>
      </w:r>
      <w:r>
        <w:t xml:space="preserve"> </w:t>
      </w:r>
      <w:r>
        <w:t xml:space="preserve">Electricity Amendment</w:t>
      </w:r>
      <w:r>
        <w:t xml:space="preserve"> </w:t>
      </w:r>
      <w:r>
        <w:t xml:space="preserve">(</w:t>
      </w:r>
      <w:r>
        <w:t xml:space="preserve">Demand Response Mechanism</w:t>
      </w:r>
      <w:r>
        <w:t xml:space="preserve"> </w:t>
      </w:r>
      <w:r>
        <w:t xml:space="preserve">and</w:t>
      </w:r>
      <w:r>
        <w:t xml:space="preserve"> </w:t>
      </w:r>
      <w:r>
        <w:t xml:space="preserve">Ancillary Services Unbundling</w:t>
      </w:r>
      <w:r>
        <w:t xml:space="preserve">)</w:t>
      </w:r>
      <w:r>
        <w:t xml:space="preserve"> </w:t>
      </w:r>
      <w:r>
        <w:t xml:space="preserve">Rule</w:t>
      </w:r>
      <w:r>
        <w:t xml:space="preserve"> </w:t>
      </w:r>
      <w:r>
        <w:t xml:space="preserve">2016 -</w:t>
      </w:r>
      <w:r>
        <w:t xml:space="preserve"> </w:t>
      </w:r>
      <w:r>
        <w:t xml:space="preserve">Final</w:t>
      </w:r>
      <w:r>
        <w:t xml:space="preserve"> </w:t>
      </w:r>
      <w:r>
        <w:t xml:space="preserve">rule determination.</w:t>
      </w:r>
    </w:p>
    <w:bookmarkEnd w:id="230"/>
    <w:bookmarkStart w:id="231" w:name="Xe8c300eeae062e2ed8ee4727d274c4396c5dbff"/>
    <w:p>
      <w:pPr>
        <w:pStyle w:val="Bibliography"/>
      </w:pPr>
      <w:r>
        <w:t xml:space="preserve">Australian Energy Market Commission, 2015. Bidding in</w:t>
      </w:r>
      <w:r>
        <w:t xml:space="preserve"> </w:t>
      </w:r>
      <w:r>
        <w:t xml:space="preserve">Good Faith</w:t>
      </w:r>
      <w:r>
        <w:t xml:space="preserve">,</w:t>
      </w:r>
      <w:r>
        <w:t xml:space="preserve"> </w:t>
      </w:r>
      <w:r>
        <w:t xml:space="preserve">Final Rule Determination</w:t>
      </w:r>
      <w:r>
        <w:t xml:space="preserve">.</w:t>
      </w:r>
    </w:p>
    <w:bookmarkEnd w:id="231"/>
    <w:bookmarkStart w:id="232" w:name="X69b6505f7439c279a132e5425c5d610e080361d"/>
    <w:p>
      <w:pPr>
        <w:pStyle w:val="Bibliography"/>
      </w:pPr>
      <w:r>
        <w:t xml:space="preserve">Australian Energy Market Commission Reliability Panel, 2022. 2022</w:t>
      </w:r>
      <w:r>
        <w:t xml:space="preserve"> </w:t>
      </w:r>
      <w:r>
        <w:t xml:space="preserve">Review</w:t>
      </w:r>
      <w:r>
        <w:t xml:space="preserve"> </w:t>
      </w:r>
      <w:r>
        <w:t xml:space="preserve">of the</w:t>
      </w:r>
      <w:r>
        <w:t xml:space="preserve"> </w:t>
      </w:r>
      <w:r>
        <w:t xml:space="preserve">Reliability Standard</w:t>
      </w:r>
      <w:r>
        <w:t xml:space="preserve"> </w:t>
      </w:r>
      <w:r>
        <w:t xml:space="preserve">and</w:t>
      </w:r>
      <w:r>
        <w:t xml:space="preserve"> </w:t>
      </w:r>
      <w:r>
        <w:t xml:space="preserve">Settings</w:t>
      </w:r>
      <w:r>
        <w:t xml:space="preserve">.</w:t>
      </w:r>
    </w:p>
    <w:bookmarkEnd w:id="232"/>
    <w:bookmarkStart w:id="233" w:name="Xfeb2de1ac1725393bea77ea1338cf7492788c4f"/>
    <w:p>
      <w:pPr>
        <w:pStyle w:val="Bibliography"/>
      </w:pPr>
      <w:r>
        <w:t xml:space="preserve">Australian Energy Market Commission Reliability Panel, 2020. Reliability and</w:t>
      </w:r>
      <w:r>
        <w:t xml:space="preserve"> </w:t>
      </w:r>
      <w:r>
        <w:t xml:space="preserve">Emergency Reserve Trader Guidelines</w:t>
      </w:r>
      <w:r>
        <w:t xml:space="preserve">,</w:t>
      </w:r>
      <w:r>
        <w:t xml:space="preserve"> </w:t>
      </w:r>
      <w:r>
        <w:t xml:space="preserve">Final</w:t>
      </w:r>
      <w:r>
        <w:t xml:space="preserve"> </w:t>
      </w:r>
      <w:r>
        <w:t xml:space="preserve">guidelines.</w:t>
      </w:r>
    </w:p>
    <w:bookmarkEnd w:id="233"/>
    <w:bookmarkStart w:id="234"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 </w:t>
      </w:r>
      <w:r>
        <w:t xml:space="preserve">(No. November).</w:t>
      </w:r>
    </w:p>
    <w:bookmarkEnd w:id="234"/>
    <w:bookmarkStart w:id="235" w:name="X8323e2e3e10a877f9ebe79b58d1fe683bf7f391"/>
    <w:p>
      <w:pPr>
        <w:pStyle w:val="Bibliography"/>
      </w:pPr>
      <w:r>
        <w:t xml:space="preserve">Australian Energy Market Operator, n.d.a.</w:t>
      </w:r>
      <w:r>
        <w:t xml:space="preserve"> </w:t>
      </w:r>
      <w:r>
        <w:t xml:space="preserve">5MS Commencement</w:t>
      </w:r>
      <w:r>
        <w:t xml:space="preserve">.</w:t>
      </w:r>
    </w:p>
    <w:bookmarkEnd w:id="235"/>
    <w:bookmarkStart w:id="236" w:name="Xc217b8abd9a98bd90a8ef2d1cb9dc2560b3200f"/>
    <w:p>
      <w:pPr>
        <w:pStyle w:val="Bibliography"/>
      </w:pPr>
      <w:r>
        <w:t xml:space="preserve">Australian Energy Market Operator, n.d.b. Pre dispatch.</w:t>
      </w:r>
    </w:p>
    <w:bookmarkEnd w:id="236"/>
    <w:bookmarkStart w:id="237" w:name="X9f14554c9fbab180f0895f001a9e72329973dfa"/>
    <w:p>
      <w:pPr>
        <w:pStyle w:val="Bibliography"/>
      </w:pPr>
      <w:r>
        <w:t xml:space="preserve">Australian Energy Market Operator, 2022b. 2022</w:t>
      </w:r>
      <w:r>
        <w:t xml:space="preserve"> </w:t>
      </w:r>
      <w:r>
        <w:t xml:space="preserve">Integrated System Plan</w:t>
      </w:r>
      <w:r>
        <w:t xml:space="preserve">.</w:t>
      </w:r>
    </w:p>
    <w:bookmarkEnd w:id="237"/>
    <w:bookmarkStart w:id="238" w:name="X89e1d13a06c4fc4983081ee3d5bd31282b28c9b"/>
    <w:p>
      <w:pPr>
        <w:pStyle w:val="Bibliography"/>
      </w:pPr>
      <w:r>
        <w:t xml:space="preserve">Australian Energy Market Operator, 2022a. Generation information.</w:t>
      </w:r>
    </w:p>
    <w:bookmarkEnd w:id="238"/>
    <w:bookmarkStart w:id="239" w:name="X198fdb16c8fc7a35b09e2bd06fa55d9778dea13"/>
    <w:p>
      <w:pPr>
        <w:pStyle w:val="Bibliography"/>
      </w:pPr>
      <w:r>
        <w:t xml:space="preserve">Australian Energy Market Operator, 2022c.</w:t>
      </w:r>
      <w:r>
        <w:t xml:space="preserve"> </w:t>
      </w:r>
      <w:r>
        <w:t xml:space="preserve">NEM</w:t>
      </w:r>
      <w:r>
        <w:t xml:space="preserve"> </w:t>
      </w:r>
      <w:r>
        <w:t xml:space="preserve">market suspension and operational challenges in</w:t>
      </w:r>
      <w:r>
        <w:t xml:space="preserve"> </w:t>
      </w:r>
      <w:r>
        <w:t xml:space="preserve">June</w:t>
      </w:r>
      <w:r>
        <w:t xml:space="preserve"> </w:t>
      </w:r>
      <w:r>
        <w:t xml:space="preserve">2022.</w:t>
      </w:r>
    </w:p>
    <w:bookmarkEnd w:id="239"/>
    <w:bookmarkStart w:id="240" w:name="X2be6cc22a49955f8f33216e2ee7e30f4d5251f3"/>
    <w:p>
      <w:pPr>
        <w:pStyle w:val="Bibliography"/>
      </w:pPr>
      <w:r>
        <w:t xml:space="preserve">Australian Energy Market Operator, 2022d. Transfer</w:t>
      </w:r>
      <w:r>
        <w:t xml:space="preserve"> </w:t>
      </w:r>
      <w:r>
        <w:t xml:space="preserve">Limit Advice</w:t>
      </w:r>
      <w:r>
        <w:t xml:space="preserve"> </w:t>
      </w:r>
      <w:r>
        <w:t xml:space="preserve">-</w:t>
      </w:r>
      <w:r>
        <w:t xml:space="preserve"> </w:t>
      </w:r>
      <w:r>
        <w:t xml:space="preserve">System Strength</w:t>
      </w:r>
      <w:r>
        <w:t xml:space="preserve"> </w:t>
      </w:r>
      <w:r>
        <w:t xml:space="preserve">in</w:t>
      </w:r>
      <w:r>
        <w:t xml:space="preserve"> </w:t>
      </w:r>
      <w:r>
        <w:t xml:space="preserve">SA</w:t>
      </w:r>
      <w:r>
        <w:t xml:space="preserve"> </w:t>
      </w:r>
      <w:r>
        <w:t xml:space="preserve">and</w:t>
      </w:r>
      <w:r>
        <w:t xml:space="preserve"> </w:t>
      </w:r>
      <w:r>
        <w:t xml:space="preserve">Victoria</w:t>
      </w:r>
      <w:r>
        <w:t xml:space="preserve">.</w:t>
      </w:r>
    </w:p>
    <w:bookmarkEnd w:id="240"/>
    <w:bookmarkStart w:id="241"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241"/>
    <w:bookmarkStart w:id="242"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242"/>
    <w:bookmarkStart w:id="243" w:name="X3f3bf6f6062ae28ac207f19cca41ed92cbea4fc"/>
    <w:p>
      <w:pPr>
        <w:pStyle w:val="Bibliography"/>
      </w:pPr>
      <w:r>
        <w:t xml:space="preserve">Australian Energy Market Operator, 2021f. Behaviour of distributed resources during power system disturbances</w:t>
      </w:r>
      <w:r>
        <w:t xml:space="preserve"> </w:t>
      </w:r>
      <w:r>
        <w:t xml:space="preserve">Overview</w:t>
      </w:r>
      <w:r>
        <w:t xml:space="preserve"> </w:t>
      </w:r>
      <w:r>
        <w:t xml:space="preserve">of key findings.</w:t>
      </w:r>
    </w:p>
    <w:bookmarkEnd w:id="243"/>
    <w:bookmarkStart w:id="244"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244"/>
    <w:bookmarkStart w:id="245"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245"/>
    <w:bookmarkStart w:id="246"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246"/>
    <w:bookmarkStart w:id="247" w:name="X5b5be612faa4540a649c1fcf2dc213ae48fcd46"/>
    <w:p>
      <w:pPr>
        <w:pStyle w:val="Bibliography"/>
      </w:pPr>
      <w:r>
        <w:t xml:space="preserve">Australian Energy Market Operator, 2021q. Fast-</w:t>
      </w:r>
      <w:r>
        <w:t xml:space="preserve">Start Inflexibility Profile</w:t>
      </w:r>
      <w:r>
        <w:t xml:space="preserve">.</w:t>
      </w:r>
    </w:p>
    <w:bookmarkEnd w:id="247"/>
    <w:bookmarkStart w:id="248"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248"/>
    <w:bookmarkStart w:id="249"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249"/>
    <w:bookmarkStart w:id="250"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250"/>
    <w:bookmarkStart w:id="251" w:name="Xc80a4ce6e97b6d6e54021b39f96d3cb38ebe560"/>
    <w:p>
      <w:pPr>
        <w:pStyle w:val="Bibliography"/>
      </w:pPr>
      <w:r>
        <w:t xml:space="preserve">Australian Energy Market Operator, 2021l. Operating the grid with high roof-top solar generation.</w:t>
      </w:r>
    </w:p>
    <w:bookmarkEnd w:id="251"/>
    <w:bookmarkStart w:id="252" w:name="X138fae50e25c01b7409075b0a50e9911ea1d9a1"/>
    <w:p>
      <w:pPr>
        <w:pStyle w:val="Bibliography"/>
      </w:pPr>
      <w:r>
        <w:t xml:space="preserve">Australian Energy Market Operator, 2021k. Pre-dispatch operating procedure.</w:t>
      </w:r>
    </w:p>
    <w:bookmarkEnd w:id="252"/>
    <w:bookmarkStart w:id="253" w:name="X0602c29f6776959539c049d0a18ec3c3d6c7a73"/>
    <w:p>
      <w:pPr>
        <w:pStyle w:val="Bibliography"/>
      </w:pPr>
      <w:r>
        <w:t xml:space="preserve">Australian Energy Market Operator, 2021m. Pre-</w:t>
      </w:r>
      <w:r>
        <w:t xml:space="preserve">Dispatch Sensitivities</w:t>
      </w:r>
      <w:r>
        <w:t xml:space="preserve">.</w:t>
      </w:r>
    </w:p>
    <w:bookmarkEnd w:id="253"/>
    <w:bookmarkStart w:id="254"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254"/>
    <w:bookmarkStart w:id="255"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255"/>
    <w:bookmarkStart w:id="256" w:name="X25d6c8931f34b0888aef1a4b1f37d38df3544a3"/>
    <w:p>
      <w:pPr>
        <w:pStyle w:val="Bibliography"/>
      </w:pPr>
      <w:r>
        <w:t xml:space="preserve">Australian Energy Market Operator, 2021n. Short</w:t>
      </w:r>
      <w:r>
        <w:t xml:space="preserve"> </w:t>
      </w:r>
      <w:r>
        <w:t xml:space="preserve">Term Reserve Management</w:t>
      </w:r>
      <w:r>
        <w:t xml:space="preserve">.</w:t>
      </w:r>
    </w:p>
    <w:bookmarkEnd w:id="256"/>
    <w:bookmarkStart w:id="257"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 </w:t>
      </w:r>
      <w:r>
        <w:t xml:space="preserve">Reserve Products</w:t>
      </w:r>
      <w:r>
        <w:t xml:space="preserve"> </w:t>
      </w:r>
      <w:r>
        <w:t xml:space="preserve">in the</w:t>
      </w:r>
      <w:r>
        <w:t xml:space="preserve"> </w:t>
      </w:r>
      <w:r>
        <w:t xml:space="preserve">NEM</w:t>
      </w:r>
      <w:r>
        <w:t xml:space="preserve">.</w:t>
      </w:r>
    </w:p>
    <w:bookmarkEnd w:id="257"/>
    <w:bookmarkStart w:id="258" w:name="X42f043549b7193d693ae6e1802f73c9d642ba94"/>
    <w:p>
      <w:pPr>
        <w:pStyle w:val="Bibliography"/>
      </w:pPr>
      <w:r>
        <w:t xml:space="preserve">Australian Energy Market Operator, 2020a. 2020</w:t>
      </w:r>
      <w:r>
        <w:t xml:space="preserve"> </w:t>
      </w:r>
      <w:r>
        <w:t xml:space="preserve">Inputs</w:t>
      </w:r>
      <w:r>
        <w:t xml:space="preserve">, assumptions and scenarios.</w:t>
      </w:r>
    </w:p>
    <w:bookmarkEnd w:id="258"/>
    <w:bookmarkStart w:id="259" w:name="X0e5a15395ae87400b0bd32f617ab7fb54b9a292"/>
    <w:p>
      <w:pPr>
        <w:pStyle w:val="Bibliography"/>
      </w:pPr>
      <w:r>
        <w:t xml:space="preserve">Australian Energy Market Operator, 2020f. 2020</w:t>
      </w:r>
      <w:r>
        <w:t xml:space="preserve"> </w:t>
      </w:r>
      <w:r>
        <w:t xml:space="preserve">Integrated System Plan</w:t>
      </w:r>
      <w:r>
        <w:t xml:space="preserve"> </w:t>
      </w:r>
      <w:r>
        <w:t xml:space="preserve">(No. December), Clean Energy Council.</w:t>
      </w:r>
    </w:p>
    <w:bookmarkEnd w:id="259"/>
    <w:bookmarkStart w:id="260" w:name="X0be2f5c022c6778c7c7f47026236c7b27614cd9"/>
    <w:p>
      <w:pPr>
        <w:pStyle w:val="Bibliography"/>
      </w:pPr>
      <w:r>
        <w:t xml:space="preserve">Australian Energy Market Operator, 2020b. 2020</w:t>
      </w:r>
      <w:r>
        <w:t xml:space="preserve"> </w:t>
      </w:r>
      <w:r>
        <w:t xml:space="preserve">ISP Generation Outlook</w:t>
      </w:r>
      <w:r>
        <w:t xml:space="preserve">.</w:t>
      </w:r>
    </w:p>
    <w:bookmarkEnd w:id="260"/>
    <w:bookmarkStart w:id="261"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w:t>
      </w:r>
    </w:p>
    <w:bookmarkEnd w:id="261"/>
    <w:bookmarkStart w:id="262" w:name="X65c327332b0f72f124cbb058ff6ac08f30604c6"/>
    <w:p>
      <w:pPr>
        <w:pStyle w:val="Bibliography"/>
      </w:pPr>
      <w:r>
        <w:t xml:space="preserve">Australian Energy Market Operator, 2020o. 2020</w:t>
      </w:r>
      <w:r>
        <w:t xml:space="preserve"> </w:t>
      </w:r>
      <w:r>
        <w:t xml:space="preserve">System Strength</w:t>
      </w:r>
      <w:r>
        <w:t xml:space="preserve"> </w:t>
      </w:r>
      <w:r>
        <w:t xml:space="preserve">and</w:t>
      </w:r>
      <w:r>
        <w:t xml:space="preserve"> </w:t>
      </w:r>
      <w:r>
        <w:t xml:space="preserve">Inertia Report</w:t>
      </w:r>
      <w:r>
        <w:t xml:space="preserve">.</w:t>
      </w:r>
    </w:p>
    <w:bookmarkEnd w:id="262"/>
    <w:bookmarkStart w:id="263" w:name="X53f76bdd056d9eea02eec09df53cfa79f28c5b7"/>
    <w:p>
      <w:pPr>
        <w:pStyle w:val="Bibliography"/>
      </w:pPr>
      <w:r>
        <w:t xml:space="preserve">Australian Energy Market Operator, 2020k. Interim</w:t>
      </w:r>
      <w:r>
        <w:t xml:space="preserve"> </w:t>
      </w:r>
      <w:r>
        <w:t xml:space="preserve">Primary Frequency Response Requirements</w:t>
      </w:r>
      <w:r>
        <w:t xml:space="preserve">.</w:t>
      </w:r>
    </w:p>
    <w:bookmarkEnd w:id="263"/>
    <w:bookmarkStart w:id="264" w:name="X25d4e8862632231c092922d0533da768306b12c"/>
    <w:p>
      <w:pPr>
        <w:pStyle w:val="Bibliography"/>
      </w:pPr>
      <w:r>
        <w:t xml:space="preserve">Australian Energy Market Operator, 2020g. Market ancillary service specification.</w:t>
      </w:r>
    </w:p>
    <w:bookmarkEnd w:id="264"/>
    <w:bookmarkStart w:id="265" w:name="Xfc619ad5e2a1dfeb5693209aca0f75fa447feeb"/>
    <w:p>
      <w:pPr>
        <w:pStyle w:val="Bibliography"/>
      </w:pPr>
      <w:r>
        <w:t xml:space="preserve">Australian Energy Market Operator, 2020i.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265"/>
    <w:bookmarkStart w:id="266" w:name="X93982e7f1c88923160c0a3117b808f0a1c28969"/>
    <w:p>
      <w:pPr>
        <w:pStyle w:val="Bibliography"/>
      </w:pPr>
      <w:r>
        <w:t xml:space="preserve">Australian Energy Market Operator, 2020e. Power</w:t>
      </w:r>
      <w:r>
        <w:t xml:space="preserve"> </w:t>
      </w:r>
      <w:r>
        <w:t xml:space="preserve">System Requirements</w:t>
      </w:r>
      <w:r>
        <w:t xml:space="preserve">.</w:t>
      </w:r>
    </w:p>
    <w:bookmarkEnd w:id="266"/>
    <w:bookmarkStart w:id="267" w:name="X2713d682f460f54a036fc743e7e0c8571400df5"/>
    <w:p>
      <w:pPr>
        <w:pStyle w:val="Bibliography"/>
      </w:pPr>
      <w:r>
        <w:t xml:space="preserve">Australian Energy Market Operator, 2020l. Quarterly</w:t>
      </w:r>
      <w:r>
        <w:t xml:space="preserve"> </w:t>
      </w:r>
      <w:r>
        <w:t xml:space="preserve">Energy Dynamics Q1</w:t>
      </w:r>
      <w:r>
        <w:t xml:space="preserve"> </w:t>
      </w:r>
      <w:r>
        <w:t xml:space="preserve">2020.</w:t>
      </w:r>
    </w:p>
    <w:bookmarkEnd w:id="267"/>
    <w:bookmarkStart w:id="268" w:name="X32f514c2fd5da416d4352e544a7bc9b85a2b767"/>
    <w:p>
      <w:pPr>
        <w:pStyle w:val="Bibliography"/>
      </w:pPr>
      <w:r>
        <w:t xml:space="preserve">Australian Energy Market Operator, 2020n. Reliability</w:t>
      </w:r>
      <w:r>
        <w:t xml:space="preserve"> </w:t>
      </w:r>
      <w:r>
        <w:t xml:space="preserve">Standard Implementation Guidelines</w:t>
      </w:r>
      <w:r>
        <w:t xml:space="preserve">.</w:t>
      </w:r>
    </w:p>
    <w:bookmarkEnd w:id="268"/>
    <w:bookmarkStart w:id="269" w:name="X2cabe126713e4162a0fb000c86d68d3e3e288c6"/>
    <w:p>
      <w:pPr>
        <w:pStyle w:val="Bibliography"/>
      </w:pPr>
      <w:r>
        <w:t xml:space="preserve">Australian Energy Market Operator, 2020c.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269"/>
    <w:bookmarkStart w:id="270" w:name="X0e03840bb3a8964157d0fa5fb491ec9540cd333"/>
    <w:p>
      <w:pPr>
        <w:pStyle w:val="Bibliography"/>
      </w:pPr>
      <w:r>
        <w:t xml:space="preserve">Australian Energy Market Operator, 2020j.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270"/>
    <w:bookmarkStart w:id="271" w:name="X1e56b8dc9deabe582649f9930346b434910d2bf"/>
    <w:p>
      <w:pPr>
        <w:pStyle w:val="Bibliography"/>
      </w:pPr>
      <w:r>
        <w:t xml:space="preserve">Australian Energy Market Operator, 2020d.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271"/>
    <w:bookmarkStart w:id="272" w:name="X72c0b4894adba6fe5116b27ff4793a7b2f6bd43"/>
    <w:p>
      <w:pPr>
        <w:pStyle w:val="Bibliography"/>
      </w:pPr>
      <w:r>
        <w:t xml:space="preserve">Australian Energy Market Operator, 2020h. System strength in the</w:t>
      </w:r>
      <w:r>
        <w:t xml:space="preserve"> </w:t>
      </w:r>
      <w:r>
        <w:t xml:space="preserve">NEM</w:t>
      </w:r>
      <w:r>
        <w:t xml:space="preserve"> </w:t>
      </w:r>
      <w:r>
        <w:t xml:space="preserve">explained.</w:t>
      </w:r>
    </w:p>
    <w:bookmarkEnd w:id="272"/>
    <w:bookmarkStart w:id="273" w:name="X3f3a611a4aac621679da42392957269bd79b28f"/>
    <w:p>
      <w:pPr>
        <w:pStyle w:val="Bibliography"/>
      </w:pPr>
      <w:r>
        <w:t xml:space="preserve">Australian Energy Market Operator, 2020m. Wholesale</w:t>
      </w:r>
      <w:r>
        <w:t xml:space="preserve"> </w:t>
      </w:r>
      <w:r>
        <w:t xml:space="preserve">Demand Reponse</w:t>
      </w:r>
      <w:r>
        <w:t xml:space="preserve">:</w:t>
      </w:r>
      <w:r>
        <w:t xml:space="preserve"> </w:t>
      </w:r>
      <w:r>
        <w:t xml:space="preserve">High-level Design</w:t>
      </w:r>
      <w:r>
        <w:t xml:space="preserve">.</w:t>
      </w:r>
    </w:p>
    <w:bookmarkEnd w:id="273"/>
    <w:bookmarkStart w:id="274"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w:t>
      </w:r>
    </w:p>
    <w:bookmarkEnd w:id="274"/>
    <w:bookmarkStart w:id="275"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w:t>
      </w:r>
    </w:p>
    <w:bookmarkEnd w:id="275"/>
    <w:bookmarkStart w:id="276"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276"/>
    <w:bookmarkStart w:id="277"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277"/>
    <w:bookmarkStart w:id="278" w:name="Xb34d075e5c2031412240bb6490b5f9263e24674"/>
    <w:p>
      <w:pPr>
        <w:pStyle w:val="Bibliography"/>
      </w:pPr>
      <w:r>
        <w:t xml:space="preserve">Australian Energy Market Operator, 2019d. Final</w:t>
      </w:r>
      <w:r>
        <w:t xml:space="preserve"> </w:t>
      </w:r>
      <w:r>
        <w:t xml:space="preserve">Report</w:t>
      </w:r>
      <w:r>
        <w:t xml:space="preserve"> </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278"/>
    <w:bookmarkStart w:id="279"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279"/>
    <w:bookmarkStart w:id="280"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280"/>
    <w:bookmarkStart w:id="281" w:name="X4987a8262f6f92063ffda336c2631f4f0954a6a"/>
    <w:p>
      <w:pPr>
        <w:pStyle w:val="Bibliography"/>
      </w:pPr>
      <w:r>
        <w:t xml:space="preserve">Australian Energy Market Operator, 2018a.</w:t>
      </w:r>
      <w:r>
        <w:t xml:space="preserve"> </w:t>
      </w:r>
      <w:r>
        <w:t xml:space="preserve">AEMC Frequency Control Frameworks Review</w:t>
      </w:r>
      <w:r>
        <w:t xml:space="preserve"> </w:t>
      </w:r>
      <w:r>
        <w:t xml:space="preserve">-</w:t>
      </w:r>
      <w:r>
        <w:t xml:space="preserve"> </w:t>
      </w:r>
      <w:r>
        <w:t xml:space="preserve">AEMO Advice</w:t>
      </w:r>
      <w:r>
        <w:t xml:space="preserve">.</w:t>
      </w:r>
    </w:p>
    <w:bookmarkEnd w:id="281"/>
    <w:bookmarkStart w:id="282"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282"/>
    <w:bookmarkStart w:id="283" w:name="X677accbfeb336ffeb381645c930e4110a8b0447"/>
    <w:p>
      <w:pPr>
        <w:pStyle w:val="Bibliography"/>
      </w:pPr>
      <w:r>
        <w:t xml:space="preserve">Australian Energy Market Operator, 2018c. Inertia requirements methodology: Inertia requirements &amp; shortfalls.</w:t>
      </w:r>
    </w:p>
    <w:bookmarkEnd w:id="283"/>
    <w:bookmarkStart w:id="284"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284"/>
    <w:bookmarkStart w:id="285"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285"/>
    <w:bookmarkStart w:id="286" w:name="X5c182828f385588cc99aab2cf38eca38b2183a4"/>
    <w:p>
      <w:pPr>
        <w:pStyle w:val="Bibliography"/>
      </w:pPr>
      <w:r>
        <w:t xml:space="preserve">Australian Energy Market Operator, 2018g. Reserve</w:t>
      </w:r>
      <w:r>
        <w:t xml:space="preserve"> </w:t>
      </w:r>
      <w:r>
        <w:t xml:space="preserve">Level Declaration Guidelines</w:t>
      </w:r>
      <w:r>
        <w:t xml:space="preserve">.</w:t>
      </w:r>
    </w:p>
    <w:bookmarkEnd w:id="286"/>
    <w:bookmarkStart w:id="287"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287"/>
    <w:bookmarkStart w:id="288"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288"/>
    <w:bookmarkStart w:id="289"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289"/>
    <w:bookmarkStart w:id="290"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290"/>
    <w:bookmarkStart w:id="291"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291"/>
    <w:bookmarkStart w:id="292"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292"/>
    <w:bookmarkStart w:id="293"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293"/>
    <w:bookmarkStart w:id="294" w:name="X3d4c8dbacd98ce489f3f9224cc3851ddc516c4d"/>
    <w:p>
      <w:pPr>
        <w:pStyle w:val="Bibliography"/>
      </w:pPr>
      <w:r>
        <w:t xml:space="preserve">Australian Energy Market Operator, 2012. Short</w:t>
      </w:r>
      <w:r>
        <w:t xml:space="preserve"> </w:t>
      </w:r>
      <w:r>
        <w:t xml:space="preserve">Term PASA Process Description</w:t>
      </w:r>
      <w:r>
        <w:t xml:space="preserve">.</w:t>
      </w:r>
    </w:p>
    <w:bookmarkEnd w:id="294"/>
    <w:bookmarkStart w:id="295"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295"/>
    <w:bookmarkStart w:id="296" w:name="Xc186a249c6fb8f47c02edfd5d5d5296888aef42"/>
    <w:p>
      <w:pPr>
        <w:pStyle w:val="Bibliography"/>
      </w:pPr>
      <w:r>
        <w:t xml:space="preserve">Australian Energy Regulator, 2022. State of the energy market 2022.</w:t>
      </w:r>
    </w:p>
    <w:bookmarkEnd w:id="296"/>
    <w:bookmarkStart w:id="297"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297"/>
    <w:bookmarkStart w:id="298"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298"/>
    <w:bookmarkStart w:id="299" w:name="X64112f62afbcd7ff6be2cba0000e3dcd5442845"/>
    <w:p>
      <w:pPr>
        <w:pStyle w:val="Bibliography"/>
      </w:pPr>
      <w:r>
        <w:t xml:space="preserve">Australian Energy Regulator, 2019. Values of</w:t>
      </w:r>
      <w:r>
        <w:t xml:space="preserve"> </w:t>
      </w:r>
      <w:r>
        <w:t xml:space="preserve">Customer Reliability</w:t>
      </w:r>
      <w:r>
        <w:t xml:space="preserve">.</w:t>
      </w:r>
    </w:p>
    <w:bookmarkEnd w:id="299"/>
    <w:bookmarkStart w:id="300"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w:t>
      </w:r>
    </w:p>
    <w:bookmarkEnd w:id="300"/>
    <w:bookmarkStart w:id="302"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301">
        <w:r>
          <w:rPr>
            <w:rStyle w:val="Hyperlink"/>
          </w:rPr>
          <w:t xml:space="preserve">https://doi.org/10.1016/j.rser.2018.03.085</w:t>
        </w:r>
      </w:hyperlink>
    </w:p>
    <w:bookmarkEnd w:id="302"/>
    <w:bookmarkStart w:id="304"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303">
        <w:r>
          <w:rPr>
            <w:rStyle w:val="Hyperlink"/>
          </w:rPr>
          <w:t xml:space="preserve">https://doi.org/10.1109/TPWRS.2019.2925557</w:t>
        </w:r>
      </w:hyperlink>
    </w:p>
    <w:bookmarkEnd w:id="304"/>
    <w:bookmarkStart w:id="306"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305">
        <w:r>
          <w:rPr>
            <w:rStyle w:val="Hyperlink"/>
          </w:rPr>
          <w:t xml:space="preserve">https://doi.org/10.26889/9781784671600</w:t>
        </w:r>
      </w:hyperlink>
    </w:p>
    <w:bookmarkEnd w:id="306"/>
    <w:bookmarkStart w:id="308"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307">
        <w:r>
          <w:rPr>
            <w:rStyle w:val="Hyperlink"/>
          </w:rPr>
          <w:t xml:space="preserve">https://doi.org/10.1016/j.tej.2019.106668</w:t>
        </w:r>
      </w:hyperlink>
    </w:p>
    <w:bookmarkEnd w:id="308"/>
    <w:bookmarkStart w:id="309" w:name="ref-cherevatskiyGridFormingEnergy2020"/>
    <w:p>
      <w:pPr>
        <w:pStyle w:val="Bibliography"/>
      </w:pPr>
      <w:r>
        <w:t xml:space="preserve">Cherevatskiy, S., Sproul, S., Zabihi, S., Korte, R., Klingenberg, H., Buchholz, B., Oudalov, A., 2020. Grid</w:t>
      </w:r>
      <w:r>
        <w:t xml:space="preserve"> </w:t>
      </w:r>
      <w:r>
        <w:t xml:space="preserve">Forming Energy Storage System</w:t>
      </w:r>
      <w:r>
        <w:t xml:space="preserve"> </w:t>
      </w:r>
      <w:r>
        <w:t xml:space="preserve">addresses challenges of grids with high penetration of renewables (</w:t>
      </w:r>
      <w:r>
        <w:t xml:space="preserve">A</w:t>
      </w:r>
      <w:r>
        <w:t xml:space="preserve"> </w:t>
      </w:r>
      <w:r>
        <w:t xml:space="preserve">case study), in: 48th</w:t>
      </w:r>
      <w:r>
        <w:t xml:space="preserve"> </w:t>
      </w:r>
      <w:r>
        <w:t xml:space="preserve">CIGRE Session</w:t>
      </w:r>
      <w:r>
        <w:t xml:space="preserve"> </w:t>
      </w:r>
      <w:r>
        <w:t xml:space="preserve">2020,</w:t>
      </w:r>
      <w:r>
        <w:t xml:space="preserve"> </w:t>
      </w:r>
      <w:r>
        <w:t xml:space="preserve">Paris</w:t>
      </w:r>
      <w:r>
        <w:t xml:space="preserve">.</w:t>
      </w:r>
    </w:p>
    <w:bookmarkEnd w:id="309"/>
    <w:bookmarkStart w:id="311"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310">
        <w:r>
          <w:rPr>
            <w:rStyle w:val="Hyperlink"/>
          </w:rPr>
          <w:t xml:space="preserve">https://doi.org/10.1109/jproc.2005.857493</w:t>
        </w:r>
      </w:hyperlink>
    </w:p>
    <w:bookmarkEnd w:id="311"/>
    <w:bookmarkStart w:id="312"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312"/>
    <w:bookmarkStart w:id="314"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313">
        <w:r>
          <w:rPr>
            <w:rStyle w:val="Hyperlink"/>
          </w:rPr>
          <w:t xml:space="preserve">https://doi.org/10.1109/TPWRS.2022.3163106</w:t>
        </w:r>
      </w:hyperlink>
    </w:p>
    <w:bookmarkEnd w:id="314"/>
    <w:bookmarkStart w:id="316" w:name="ref-cramtonElectricityMarketDesign2017"/>
    <w:p>
      <w:pPr>
        <w:pStyle w:val="Bibliography"/>
      </w:pPr>
      <w:r>
        <w:t xml:space="preserve">Cramton, P., 2017. Electricity market design. Oxford Review of Economic Policy 33, 589–612.</w:t>
      </w:r>
      <w:r>
        <w:t xml:space="preserve"> </w:t>
      </w:r>
      <w:hyperlink r:id="rId315">
        <w:r>
          <w:rPr>
            <w:rStyle w:val="Hyperlink"/>
          </w:rPr>
          <w:t xml:space="preserve">https://doi.org/10.1093/oxrep/grx041</w:t>
        </w:r>
      </w:hyperlink>
    </w:p>
    <w:bookmarkEnd w:id="316"/>
    <w:bookmarkStart w:id="318"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317">
        <w:r>
          <w:rPr>
            <w:rStyle w:val="Hyperlink"/>
          </w:rPr>
          <w:t xml:space="preserve">https://doi.org/10.1016/j.seta.2021.101286</w:t>
        </w:r>
      </w:hyperlink>
    </w:p>
    <w:bookmarkEnd w:id="318"/>
    <w:bookmarkStart w:id="320"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319">
        <w:r>
          <w:rPr>
            <w:rStyle w:val="Hyperlink"/>
          </w:rPr>
          <w:t xml:space="preserve">https://doi.org/10.1016/j.enpol.2018.09.031</w:t>
        </w:r>
      </w:hyperlink>
    </w:p>
    <w:bookmarkEnd w:id="320"/>
    <w:bookmarkStart w:id="322"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321">
        <w:r>
          <w:rPr>
            <w:rStyle w:val="Hyperlink"/>
          </w:rPr>
          <w:t xml:space="preserve">https://doi.org/10.1093/ooenergy/oiab007</w:t>
        </w:r>
      </w:hyperlink>
    </w:p>
    <w:bookmarkEnd w:id="322"/>
    <w:bookmarkStart w:id="324"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323">
        <w:r>
          <w:rPr>
            <w:rStyle w:val="Hyperlink"/>
          </w:rPr>
          <w:t xml:space="preserve">https://doi.org/10.1016/j.epsr.2021.107022</w:t>
        </w:r>
      </w:hyperlink>
    </w:p>
    <w:bookmarkEnd w:id="324"/>
    <w:bookmarkStart w:id="326"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325">
        <w:r>
          <w:rPr>
            <w:rStyle w:val="Hyperlink"/>
          </w:rPr>
          <w:t xml:space="preserve">https://doi.org/10.1016/j.enpol.2018.01.023</w:t>
        </w:r>
      </w:hyperlink>
    </w:p>
    <w:bookmarkEnd w:id="326"/>
    <w:bookmarkStart w:id="327"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w:t>
      </w:r>
      <w:r>
        <w:t xml:space="preserve">(No. May).</w:t>
      </w:r>
      <w:r>
        <w:t xml:space="preserve"> </w:t>
      </w:r>
      <w:r>
        <w:t xml:space="preserve">NREL</w:t>
      </w:r>
      <w:r>
        <w:t xml:space="preserve">.</w:t>
      </w:r>
    </w:p>
    <w:bookmarkEnd w:id="327"/>
    <w:bookmarkStart w:id="328"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328"/>
    <w:bookmarkStart w:id="329"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329"/>
    <w:bookmarkStart w:id="330"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330"/>
    <w:bookmarkStart w:id="332"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331">
        <w:r>
          <w:rPr>
            <w:rStyle w:val="Hyperlink"/>
          </w:rPr>
          <w:t xml:space="preserve">https://doi.org/10.1049/iet-gtd.2013.0720</w:t>
        </w:r>
      </w:hyperlink>
    </w:p>
    <w:bookmarkEnd w:id="332"/>
    <w:bookmarkStart w:id="334"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333">
        <w:r>
          <w:rPr>
            <w:rStyle w:val="Hyperlink"/>
          </w:rPr>
          <w:t xml:space="preserve">https://doi.org/10.1109/MPE.2021.3088958</w:t>
        </w:r>
      </w:hyperlink>
    </w:p>
    <w:bookmarkEnd w:id="334"/>
    <w:bookmarkStart w:id="336"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335">
        <w:r>
          <w:rPr>
            <w:rStyle w:val="Hyperlink"/>
          </w:rPr>
          <w:t xml:space="preserve">https://doi.org/10.1007/s11149-021-09430-7</w:t>
        </w:r>
      </w:hyperlink>
    </w:p>
    <w:bookmarkEnd w:id="336"/>
    <w:bookmarkStart w:id="337" w:name="ref-elaAncillaryServicesUnited2019"/>
    <w:p>
      <w:pPr>
        <w:pStyle w:val="Bibliography"/>
      </w:pPr>
      <w:r>
        <w:t xml:space="preserve">Ela, E., Hytowitz, R.B., 2019. Ancillary</w:t>
      </w:r>
      <w:r>
        <w:t xml:space="preserve"> </w:t>
      </w:r>
      <w:r>
        <w:t xml:space="preserve">Services</w:t>
      </w:r>
      <w:r>
        <w:t xml:space="preserve"> </w:t>
      </w:r>
      <w:r>
        <w:t xml:space="preserve">in the</w:t>
      </w:r>
      <w:r>
        <w:t xml:space="preserve"> </w:t>
      </w:r>
      <w:r>
        <w:t xml:space="preserve">United States</w:t>
      </w:r>
      <w:r>
        <w:t xml:space="preserve">:</w:t>
      </w:r>
      <w:r>
        <w:t xml:space="preserve"> </w:t>
      </w:r>
      <w:r>
        <w:t xml:space="preserve">Technical Requirements</w:t>
      </w:r>
      <w:r>
        <w:t xml:space="preserve">,</w:t>
      </w:r>
      <w:r>
        <w:t xml:space="preserve"> </w:t>
      </w:r>
      <w:r>
        <w:t xml:space="preserve">Market Designs</w:t>
      </w:r>
      <w:r>
        <w:t xml:space="preserve"> </w:t>
      </w:r>
      <w:r>
        <w:t xml:space="preserve">and</w:t>
      </w:r>
      <w:r>
        <w:t xml:space="preserve"> </w:t>
      </w:r>
      <w:r>
        <w:t xml:space="preserve">Price Trends</w:t>
      </w:r>
      <w:r>
        <w:t xml:space="preserve">.</w:t>
      </w:r>
      <w:r>
        <w:t xml:space="preserve"> </w:t>
      </w:r>
      <w:r>
        <w:t xml:space="preserve">Electric Power Research Institute</w:t>
      </w:r>
      <w:r>
        <w:t xml:space="preserve">.</w:t>
      </w:r>
    </w:p>
    <w:bookmarkEnd w:id="337"/>
    <w:bookmarkStart w:id="339"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338">
        <w:r>
          <w:rPr>
            <w:rStyle w:val="Hyperlink"/>
          </w:rPr>
          <w:t xml:space="preserve">https://doi.org/10.1109/pesgm.2012.6345361</w:t>
        </w:r>
      </w:hyperlink>
    </w:p>
    <w:bookmarkEnd w:id="339"/>
    <w:bookmarkStart w:id="341"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340">
        <w:r>
          <w:rPr>
            <w:rStyle w:val="Hyperlink"/>
          </w:rPr>
          <w:t xml:space="preserve">https://doi.org/10.1016/j.tej.2016.05.001</w:t>
        </w:r>
      </w:hyperlink>
    </w:p>
    <w:bookmarkEnd w:id="341"/>
    <w:bookmarkStart w:id="343"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342">
        <w:r>
          <w:rPr>
            <w:rStyle w:val="Hyperlink"/>
          </w:rPr>
          <w:t xml:space="preserve">https://doi.org/10.2172/1023095</w:t>
        </w:r>
      </w:hyperlink>
    </w:p>
    <w:bookmarkEnd w:id="343"/>
    <w:bookmarkStart w:id="345"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344">
        <w:r>
          <w:rPr>
            <w:rStyle w:val="Hyperlink"/>
          </w:rPr>
          <w:t xml:space="preserve">https://doi.org/10.1109/mpe.2020.3033396</w:t>
        </w:r>
      </w:hyperlink>
    </w:p>
    <w:bookmarkEnd w:id="345"/>
    <w:bookmarkStart w:id="347"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346">
        <w:r>
          <w:rPr>
            <w:rStyle w:val="Hyperlink"/>
          </w:rPr>
          <w:t xml:space="preserve">https://doi.org/10.1109/mpe.2019.2933281</w:t>
        </w:r>
      </w:hyperlink>
    </w:p>
    <w:bookmarkEnd w:id="347"/>
    <w:bookmarkStart w:id="349"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348">
        <w:r>
          <w:rPr>
            <w:rStyle w:val="Hyperlink"/>
          </w:rPr>
          <w:t xml:space="preserve">https://doi.org/10.1016/j.tej.2012.04.015</w:t>
        </w:r>
      </w:hyperlink>
    </w:p>
    <w:bookmarkEnd w:id="349"/>
    <w:bookmarkStart w:id="350" w:name="X5a13c388e75af3abd87f5d81d4296f75ca43837"/>
    <w:p>
      <w:pPr>
        <w:pStyle w:val="Bibliography"/>
      </w:pPr>
      <w:r>
        <w:t xml:space="preserve">ElectraNet, Transgrid, n.d. Project</w:t>
      </w:r>
      <w:r>
        <w:t xml:space="preserve"> </w:t>
      </w:r>
      <w:r>
        <w:t xml:space="preserve">EnergyConnect</w:t>
      </w:r>
      <w:r>
        <w:t xml:space="preserve">.</w:t>
      </w:r>
    </w:p>
    <w:bookmarkEnd w:id="350"/>
    <w:bookmarkStart w:id="351" w:name="Xf2b71f0688f5c136cf7f65402d8c0e046f8bb5c"/>
    <w:p>
      <w:pPr>
        <w:pStyle w:val="Bibliography"/>
      </w:pPr>
      <w:r>
        <w:t xml:space="preserve">Electricity Sector Climate Information Project, 2021.</w:t>
      </w:r>
      <w:r>
        <w:t xml:space="preserve"> </w:t>
      </w:r>
      <w:r>
        <w:t xml:space="preserve">ESCI Project Final Report</w:t>
      </w:r>
      <w:r>
        <w:t xml:space="preserve">.</w:t>
      </w:r>
    </w:p>
    <w:bookmarkEnd w:id="351"/>
    <w:bookmarkStart w:id="352"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w:t>
      </w:r>
    </w:p>
    <w:bookmarkEnd w:id="352"/>
    <w:bookmarkStart w:id="353" w:name="X7015a224666469daa6d4b0f722bbf71ebae73a3"/>
    <w:p>
      <w:pPr>
        <w:pStyle w:val="Bibliography"/>
      </w:pPr>
      <w:r>
        <w:t xml:space="preserve">Energy Security Board, 2021. Post 2025</w:t>
      </w:r>
      <w:r>
        <w:t xml:space="preserve"> </w:t>
      </w:r>
      <w:r>
        <w:t xml:space="preserve">Market Design Options</w:t>
      </w:r>
      <w:r>
        <w:t xml:space="preserve"> </w:t>
      </w:r>
      <w:r>
        <w:t xml:space="preserve"> </w:t>
      </w:r>
      <w:r>
        <w:t xml:space="preserve">A</w:t>
      </w:r>
      <w:r>
        <w:t xml:space="preserve"> </w:t>
      </w:r>
      <w:r>
        <w:t xml:space="preserve">paper for consultation:</w:t>
      </w:r>
      <w:r>
        <w:t xml:space="preserve"> </w:t>
      </w:r>
      <w:r>
        <w:t xml:space="preserve">Part B</w:t>
      </w:r>
      <w:r>
        <w:t xml:space="preserve">.</w:t>
      </w:r>
    </w:p>
    <w:bookmarkEnd w:id="353"/>
    <w:bookmarkStart w:id="354" w:name="X6c60a147e49364a37325ec3c8c342d718257c70"/>
    <w:p>
      <w:pPr>
        <w:pStyle w:val="Bibliography"/>
      </w:pPr>
      <w:r>
        <w:t xml:space="preserve">Energy Security Board, 2020. Post 2025</w:t>
      </w:r>
      <w:r>
        <w:t xml:space="preserve"> </w:t>
      </w:r>
      <w:r>
        <w:t xml:space="preserve">Market Design Consultation Paper</w:t>
      </w:r>
      <w:r>
        <w:t xml:space="preserve">.</w:t>
      </w:r>
      <w:r>
        <w:t xml:space="preserve"> </w:t>
      </w:r>
      <w:r>
        <w:t xml:space="preserve">COAG Energy Council</w:t>
      </w:r>
      <w:r>
        <w:t xml:space="preserve">.</w:t>
      </w:r>
    </w:p>
    <w:bookmarkEnd w:id="354"/>
    <w:bookmarkStart w:id="355"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355"/>
    <w:bookmarkStart w:id="356"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356"/>
    <w:bookmarkStart w:id="357" w:name="ref-epexspotEuropeanMarketCoupling"/>
    <w:p>
      <w:pPr>
        <w:pStyle w:val="Bibliography"/>
      </w:pPr>
      <w:r>
        <w:t xml:space="preserve">EPEX Spot, n.d. European</w:t>
      </w:r>
      <w:r>
        <w:t xml:space="preserve"> </w:t>
      </w:r>
      <w:r>
        <w:t xml:space="preserve">Market Coupling</w:t>
      </w:r>
      <w:r>
        <w:t xml:space="preserve">.</w:t>
      </w:r>
    </w:p>
    <w:bookmarkEnd w:id="357"/>
    <w:bookmarkStart w:id="359"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358">
        <w:r>
          <w:rPr>
            <w:rStyle w:val="Hyperlink"/>
          </w:rPr>
          <w:t xml:space="preserve">https://doi.org/10.1049/iet-rpg.2017.0370</w:t>
        </w:r>
      </w:hyperlink>
    </w:p>
    <w:bookmarkEnd w:id="359"/>
    <w:bookmarkStart w:id="360"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360"/>
    <w:bookmarkStart w:id="361"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361"/>
    <w:bookmarkStart w:id="362" w:name="Xc2eda901e84eb700caa2d19078af1c12c2e9550"/>
    <w:p>
      <w:pPr>
        <w:pStyle w:val="Bibliography"/>
      </w:pPr>
      <w:r>
        <w:t xml:space="preserve">European Commission, 2017. Commission</w:t>
      </w:r>
      <w:r>
        <w:t xml:space="preserve"> </w:t>
      </w:r>
      <w:r>
        <w:t xml:space="preserve">Regulation</w:t>
      </w:r>
      <w:r>
        <w:t xml:space="preserve"> </w:t>
      </w:r>
      <w:r>
        <w:t xml:space="preserve">(</w:t>
      </w:r>
      <w:r>
        <w:t xml:space="preserve">EU</w:t>
      </w:r>
      <w:r>
        <w:t xml:space="preserve">) 2017/2195 of 23</w:t>
      </w:r>
      <w:r>
        <w:t xml:space="preserve"> </w:t>
      </w:r>
      <w:r>
        <w:t xml:space="preserve">November</w:t>
      </w:r>
      <w:r>
        <w:t xml:space="preserve"> </w:t>
      </w:r>
      <w:r>
        <w:t xml:space="preserve">2017 establishing a guideline on electricity balancing. Official Journal of the European Union.</w:t>
      </w:r>
    </w:p>
    <w:bookmarkEnd w:id="362"/>
    <w:bookmarkStart w:id="363"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363"/>
    <w:bookmarkStart w:id="364"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364"/>
    <w:bookmarkStart w:id="365"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365"/>
    <w:bookmarkStart w:id="366" w:name="Xa6a1827605ca5d143e229c53fba6f164e8ef9ec"/>
    <w:p>
      <w:pPr>
        <w:pStyle w:val="Bibliography"/>
      </w:pPr>
      <w:r>
        <w:t xml:space="preserve">Federal Energy Regulatory Commission, 2021. Energy and</w:t>
      </w:r>
      <w:r>
        <w:t xml:space="preserve"> </w:t>
      </w:r>
      <w:r>
        <w:t xml:space="preserve">Ancillary Services Market Reforms</w:t>
      </w:r>
      <w:r>
        <w:t xml:space="preserve"> </w:t>
      </w:r>
      <w:r>
        <w:t xml:space="preserve">to</w:t>
      </w:r>
      <w:r>
        <w:t xml:space="preserve"> </w:t>
      </w:r>
      <w:r>
        <w:t xml:space="preserve">Address Changing System Needs</w:t>
      </w:r>
      <w:r>
        <w:t xml:space="preserve">.</w:t>
      </w:r>
    </w:p>
    <w:bookmarkEnd w:id="366"/>
    <w:bookmarkStart w:id="367"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p>
    <w:bookmarkEnd w:id="367"/>
    <w:bookmarkStart w:id="369"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368">
        <w:r>
          <w:rPr>
            <w:rStyle w:val="Hyperlink"/>
          </w:rPr>
          <w:t xml:space="preserve">https://doi.org/10.1016/j.rser.2019.109662</w:t>
        </w:r>
      </w:hyperlink>
    </w:p>
    <w:bookmarkEnd w:id="369"/>
    <w:bookmarkStart w:id="371"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370">
        <w:r>
          <w:rPr>
            <w:rStyle w:val="Hyperlink"/>
          </w:rPr>
          <w:t xml:space="preserve">https://doi.org/10.1016/j.enpol.2021.112443</w:t>
        </w:r>
      </w:hyperlink>
    </w:p>
    <w:bookmarkEnd w:id="371"/>
    <w:bookmarkStart w:id="373"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372">
        <w:r>
          <w:rPr>
            <w:rStyle w:val="Hyperlink"/>
          </w:rPr>
          <w:t xml:space="preserve">https://doi.org/10.1016/j.joule.2021.03.021</w:t>
        </w:r>
      </w:hyperlink>
    </w:p>
    <w:bookmarkEnd w:id="373"/>
    <w:bookmarkStart w:id="374" w:name="ref-ghd2018AEMOCost2018"/>
    <w:p>
      <w:pPr>
        <w:pStyle w:val="Bibliography"/>
      </w:pPr>
      <w:r>
        <w:t xml:space="preserve">GHD, 2018. 2018</w:t>
      </w:r>
      <w:r>
        <w:t xml:space="preserve"> </w:t>
      </w:r>
      <w:r>
        <w:t xml:space="preserve">AEMO</w:t>
      </w:r>
      <w:r>
        <w:t xml:space="preserve"> </w:t>
      </w:r>
      <w:r>
        <w:t xml:space="preserve">cost and technical parameter review databook.</w:t>
      </w:r>
    </w:p>
    <w:bookmarkEnd w:id="374"/>
    <w:bookmarkStart w:id="375"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375"/>
    <w:bookmarkStart w:id="376" w:name="ref-gimonGridPhysicsMarkets2020"/>
    <w:p>
      <w:pPr>
        <w:pStyle w:val="Bibliography"/>
      </w:pPr>
      <w:r>
        <w:t xml:space="preserve">Gimon, E., 2020. Grid</w:t>
      </w:r>
      <w:r>
        <w:t xml:space="preserve"> </w:t>
      </w:r>
      <w:r>
        <w:t xml:space="preserve">Physics</w:t>
      </w:r>
      <w:r>
        <w:t xml:space="preserve"> </w:t>
      </w:r>
      <w:r>
        <w:t xml:space="preserve">and</w:t>
      </w:r>
      <w:r>
        <w:t xml:space="preserve"> </w:t>
      </w:r>
      <w:r>
        <w:t xml:space="preserve">Markets</w:t>
      </w:r>
      <w:r>
        <w:t xml:space="preserve">:</w:t>
      </w:r>
      <w:r>
        <w:t xml:space="preserve"> </w:t>
      </w:r>
      <w:r>
        <w:t xml:space="preserve">A Non-Engineer</w:t>
      </w:r>
      <w:r>
        <w:t xml:space="preserve">’s</w:t>
      </w:r>
      <w:r>
        <w:t xml:space="preserve"> </w:t>
      </w:r>
      <w:r>
        <w:t xml:space="preserve">Perspective</w:t>
      </w:r>
      <w:r>
        <w:t xml:space="preserve">.</w:t>
      </w:r>
    </w:p>
    <w:bookmarkEnd w:id="376"/>
    <w:bookmarkStart w:id="378"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377">
        <w:r>
          <w:rPr>
            <w:rStyle w:val="Hyperlink"/>
          </w:rPr>
          <w:t xml:space="preserve">https://doi.org/10.1016/j.rser.2017.05.278</w:t>
        </w:r>
      </w:hyperlink>
    </w:p>
    <w:bookmarkEnd w:id="378"/>
    <w:bookmarkStart w:id="379" w:name="ref-gormanNEMOSISNEMOpen2018"/>
    <w:p>
      <w:pPr>
        <w:pStyle w:val="Bibliography"/>
      </w:pPr>
      <w:r>
        <w:t xml:space="preserve">Gorman, N., Haghdadi, N., Bruce, A., MacGill, I., 2018.</w:t>
      </w:r>
      <w:r>
        <w:t xml:space="preserve"> </w:t>
      </w:r>
      <w:r>
        <w:t xml:space="preserve">NEMOSIS</w:t>
      </w:r>
      <w:r>
        <w:t xml:space="preserve"> </w:t>
      </w:r>
      <w:r>
        <w:t xml:space="preserve"> </w:t>
      </w:r>
      <w:r>
        <w:t xml:space="preserve">NEM Open Source Information Service</w:t>
      </w:r>
      <w:r>
        <w:t xml:space="preserve">; open-source access to</w:t>
      </w:r>
      <w:r>
        <w:t xml:space="preserve"> </w:t>
      </w:r>
      <w:r>
        <w:t xml:space="preserve">Australian National Electricity Market Data</w:t>
      </w:r>
      <w:r>
        <w:t xml:space="preserve">. Asia-Pacific Solar Research Conference.</w:t>
      </w:r>
    </w:p>
    <w:bookmarkEnd w:id="379"/>
    <w:bookmarkStart w:id="380"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380"/>
    <w:bookmarkStart w:id="382"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381">
        <w:r>
          <w:rPr>
            <w:rStyle w:val="Hyperlink"/>
          </w:rPr>
          <w:t xml:space="preserve">https://doi.org/10.17775/cseejpes.2019.00230</w:t>
        </w:r>
      </w:hyperlink>
    </w:p>
    <w:bookmarkEnd w:id="382"/>
    <w:bookmarkStart w:id="384"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383">
        <w:r>
          <w:rPr>
            <w:rStyle w:val="Hyperlink"/>
          </w:rPr>
          <w:t xml:space="preserve">https://doi.org/10.1080/23251042.2016.1155690</w:t>
        </w:r>
      </w:hyperlink>
    </w:p>
    <w:bookmarkEnd w:id="384"/>
    <w:bookmarkStart w:id="386" w:name="X8a79f8474b1d215f54437e2dd31963ba1830fb8"/>
    <w:p>
      <w:pPr>
        <w:pStyle w:val="Bibliography"/>
      </w:pPr>
      <w:r>
        <w:t xml:space="preserve">Hartmann, B., Vokony, I., Táczi, I., 2019. Effects of decreasing synchronous inertia on power system dynamics</w:t>
      </w:r>
      <w:r>
        <w:t xml:space="preserve"> </w:t>
      </w:r>
      <w:r>
        <w:t xml:space="preserve">of recent experiences and marketisation of services. International Transactions on Electrical Energy Systems 29.</w:t>
      </w:r>
      <w:r>
        <w:t xml:space="preserve"> </w:t>
      </w:r>
      <w:hyperlink r:id="rId385">
        <w:r>
          <w:rPr>
            <w:rStyle w:val="Hyperlink"/>
          </w:rPr>
          <w:t xml:space="preserve">https://doi.org/10.1002/2050-7038.12128</w:t>
        </w:r>
      </w:hyperlink>
    </w:p>
    <w:bookmarkEnd w:id="386"/>
    <w:bookmarkStart w:id="388" w:name="ref-heggartyQuantifyingPowerSystem2020"/>
    <w:p>
      <w:pPr>
        <w:pStyle w:val="Bibliography"/>
      </w:pPr>
      <w:r>
        <w:t xml:space="preserve">Heggarty, T., Bourmaud, J.Y., Girard, R., Kariniotakis, G., 2020. Quantifying power system flexibility provision. Applied Energy 279.</w:t>
      </w:r>
      <w:r>
        <w:t xml:space="preserve"> </w:t>
      </w:r>
      <w:hyperlink r:id="rId387">
        <w:r>
          <w:rPr>
            <w:rStyle w:val="Hyperlink"/>
          </w:rPr>
          <w:t xml:space="preserve">https://doi.org/10.1016/j.apenergy.2020.115852</w:t>
        </w:r>
      </w:hyperlink>
    </w:p>
    <w:bookmarkEnd w:id="388"/>
    <w:bookmarkStart w:id="389"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389"/>
    <w:bookmarkStart w:id="391"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390">
        <w:r>
          <w:rPr>
            <w:rStyle w:val="Hyperlink"/>
          </w:rPr>
          <w:t xml:space="preserve">https://doi.org/10.1016/j.rser.2015.04.180</w:t>
        </w:r>
      </w:hyperlink>
    </w:p>
    <w:bookmarkEnd w:id="391"/>
    <w:bookmarkStart w:id="39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392">
        <w:r>
          <w:rPr>
            <w:rStyle w:val="Hyperlink"/>
          </w:rPr>
          <w:t xml:space="preserve">https://doi.org/10.1109/mpe.2018.2871736</w:t>
        </w:r>
      </w:hyperlink>
    </w:p>
    <w:bookmarkEnd w:id="393"/>
    <w:bookmarkStart w:id="395" w:name="ref-hoganElectricityScarcityPricing2013"/>
    <w:p>
      <w:pPr>
        <w:pStyle w:val="Bibliography"/>
      </w:pPr>
      <w:r>
        <w:t xml:space="preserve">Hogan, W.W., 2013. Electricity scarcity pricing through operating reserves. Economics of Energy and Environmental Policy 2, 65–86.</w:t>
      </w:r>
      <w:r>
        <w:t xml:space="preserve"> </w:t>
      </w:r>
      <w:hyperlink r:id="rId394">
        <w:r>
          <w:rPr>
            <w:rStyle w:val="Hyperlink"/>
          </w:rPr>
          <w:t xml:space="preserve">https://doi.org/10.5547/2160-5890.2.2.4</w:t>
        </w:r>
      </w:hyperlink>
    </w:p>
    <w:bookmarkEnd w:id="395"/>
    <w:bookmarkStart w:id="396"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396"/>
    <w:bookmarkStart w:id="398"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397">
        <w:r>
          <w:rPr>
            <w:rStyle w:val="Hyperlink"/>
          </w:rPr>
          <w:t xml:space="preserve">https://doi.org/10.1109/pesmg.2013.6673067</w:t>
        </w:r>
      </w:hyperlink>
    </w:p>
    <w:bookmarkEnd w:id="398"/>
    <w:bookmarkStart w:id="399" w:name="ref-hopwoodMandatoryPrimaryFrequency2019"/>
    <w:p>
      <w:pPr>
        <w:pStyle w:val="Bibliography"/>
      </w:pPr>
      <w:r>
        <w:t xml:space="preserve">Hopwood, C., 2019. Mandatory primary frequency response consultation paper submission -</w:t>
      </w:r>
      <w:r>
        <w:t xml:space="preserve"> </w:t>
      </w:r>
      <w:r>
        <w:t xml:space="preserve">TasNetworks</w:t>
      </w:r>
      <w:r>
        <w:t xml:space="preserve">.</w:t>
      </w:r>
    </w:p>
    <w:bookmarkEnd w:id="399"/>
    <w:bookmarkStart w:id="401"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400">
        <w:r>
          <w:rPr>
            <w:rStyle w:val="Hyperlink"/>
          </w:rPr>
          <w:t xml:space="preserve">https://doi.org/10.1016/j.tej.2017.01.009</w:t>
        </w:r>
      </w:hyperlink>
    </w:p>
    <w:bookmarkEnd w:id="401"/>
    <w:bookmarkStart w:id="402"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402"/>
    <w:bookmarkStart w:id="40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403">
        <w:r>
          <w:rPr>
            <w:rStyle w:val="Hyperlink"/>
          </w:rPr>
          <w:t xml:space="preserve">https://doi.org/10.1016/j.tej.2004.03.001</w:t>
        </w:r>
      </w:hyperlink>
    </w:p>
    <w:bookmarkEnd w:id="404"/>
    <w:bookmarkStart w:id="405" w:name="ref-ibmCPLEXOptimizer2021"/>
    <w:p>
      <w:pPr>
        <w:pStyle w:val="Bibliography"/>
      </w:pPr>
      <w:r>
        <w:t xml:space="preserve">IBM, 2021.</w:t>
      </w:r>
      <w:r>
        <w:t xml:space="preserve"> </w:t>
      </w:r>
      <w:r>
        <w:t xml:space="preserve">CPLEX Optimizer</w:t>
      </w:r>
      <w:r>
        <w:t xml:space="preserve">.</w:t>
      </w:r>
    </w:p>
    <w:bookmarkEnd w:id="405"/>
    <w:bookmarkStart w:id="406" w:name="X707547308052f2a4e45271b892818fca7267bcd"/>
    <w:p>
      <w:pPr>
        <w:pStyle w:val="Bibliography"/>
      </w:pPr>
      <w:r>
        <w:t xml:space="preserve">International Energy Agency, 2021. Net</w:t>
      </w:r>
      <w:r>
        <w:t xml:space="preserve"> </w:t>
      </w:r>
      <w:r>
        <w:t xml:space="preserve">Zero</w:t>
      </w:r>
      <w:r>
        <w:t xml:space="preserve"> </w:t>
      </w:r>
      <w:r>
        <w:t xml:space="preserve">by 2050 -</w:t>
      </w:r>
      <w:r>
        <w:t xml:space="preserve"> </w:t>
      </w:r>
      <w:r>
        <w:t xml:space="preserve">A Roadmap</w:t>
      </w:r>
      <w:r>
        <w:t xml:space="preserve"> </w:t>
      </w:r>
      <w:r>
        <w:t xml:space="preserve">for the</w:t>
      </w:r>
      <w:r>
        <w:t xml:space="preserve"> </w:t>
      </w:r>
      <w:r>
        <w:t xml:space="preserve">Global Energy Sector</w:t>
      </w:r>
      <w:r>
        <w:t xml:space="preserve">.</w:t>
      </w:r>
    </w:p>
    <w:bookmarkEnd w:id="406"/>
    <w:bookmarkStart w:id="407" w:name="X6b2116a6968c52d8682ee37430ab1b91744235c"/>
    <w:p>
      <w:pPr>
        <w:pStyle w:val="Bibliography"/>
      </w:pPr>
      <w:r>
        <w:t xml:space="preserve">International Energy Agency, 2019. Status of</w:t>
      </w:r>
      <w:r>
        <w:t xml:space="preserve"> </w:t>
      </w:r>
      <w:r>
        <w:t xml:space="preserve">Power System Transformation</w:t>
      </w:r>
      <w:r>
        <w:t xml:space="preserve"> </w:t>
      </w:r>
      <w:r>
        <w:t xml:space="preserve">2019.</w:t>
      </w:r>
    </w:p>
    <w:bookmarkEnd w:id="407"/>
    <w:bookmarkStart w:id="40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408">
        <w:r>
          <w:rPr>
            <w:rStyle w:val="Hyperlink"/>
          </w:rPr>
          <w:t xml:space="preserve">https://doi.org/10.1016/j.enpol.2008.06.033</w:t>
        </w:r>
      </w:hyperlink>
    </w:p>
    <w:bookmarkEnd w:id="409"/>
    <w:bookmarkStart w:id="410"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410"/>
    <w:bookmarkStart w:id="41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411">
        <w:r>
          <w:rPr>
            <w:rStyle w:val="Hyperlink"/>
          </w:rPr>
          <w:t xml:space="preserve">https://doi.org/10.1016/j.renene.2020.11.090</w:t>
        </w:r>
      </w:hyperlink>
    </w:p>
    <w:bookmarkEnd w:id="412"/>
    <w:bookmarkStart w:id="41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413">
        <w:r>
          <w:rPr>
            <w:rStyle w:val="Hyperlink"/>
          </w:rPr>
          <w:t xml:space="preserve">https://doi.org/10.1016/j.solener.2020.05.053</w:t>
        </w:r>
      </w:hyperlink>
    </w:p>
    <w:bookmarkEnd w:id="414"/>
    <w:bookmarkStart w:id="415"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415"/>
    <w:bookmarkStart w:id="416"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416"/>
    <w:bookmarkStart w:id="418"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417">
        <w:r>
          <w:rPr>
            <w:rStyle w:val="Hyperlink"/>
          </w:rPr>
          <w:t xml:space="preserve">https://doi.org/10.1109/MPE.2016.2524964</w:t>
        </w:r>
      </w:hyperlink>
    </w:p>
    <w:bookmarkEnd w:id="418"/>
    <w:bookmarkStart w:id="420"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419">
        <w:r>
          <w:rPr>
            <w:rStyle w:val="Hyperlink"/>
          </w:rPr>
          <w:t xml:space="preserve">https://doi.org/10.1109/mpe.2016.2637122</w:t>
        </w:r>
      </w:hyperlink>
    </w:p>
    <w:bookmarkEnd w:id="420"/>
    <w:bookmarkStart w:id="421" w:name="ref-kuiperWhatStateVirtual2022"/>
    <w:p>
      <w:pPr>
        <w:pStyle w:val="Bibliography"/>
      </w:pPr>
      <w:r>
        <w:t xml:space="preserve">Kuiper, G., 2022. What</w:t>
      </w:r>
      <w:r>
        <w:t xml:space="preserve"> </w:t>
      </w:r>
      <w:r>
        <w:t xml:space="preserve">Is</w:t>
      </w:r>
      <w:r>
        <w:t xml:space="preserve"> </w:t>
      </w:r>
      <w:r>
        <w:t xml:space="preserve">the</w:t>
      </w:r>
      <w:r>
        <w:t xml:space="preserve"> </w:t>
      </w:r>
      <w:r>
        <w:t xml:space="preserve">State</w:t>
      </w:r>
      <w:r>
        <w:t xml:space="preserve"> </w:t>
      </w:r>
      <w:r>
        <w:t xml:space="preserve">of</w:t>
      </w:r>
      <w:r>
        <w:t xml:space="preserve"> </w:t>
      </w:r>
      <w:r>
        <w:t xml:space="preserve">Virtual Power Plants</w:t>
      </w:r>
      <w:r>
        <w:t xml:space="preserve"> </w:t>
      </w:r>
      <w:r>
        <w:t xml:space="preserve">in</w:t>
      </w:r>
      <w:r>
        <w:t xml:space="preserve"> </w:t>
      </w:r>
      <w:r>
        <w:t xml:space="preserve">Australia</w:t>
      </w:r>
      <w:r>
        <w:t xml:space="preserve">?</w:t>
      </w:r>
      <w:r>
        <w:t xml:space="preserve"> </w:t>
      </w:r>
      <w:r>
        <w:t xml:space="preserve">From Thin Margins</w:t>
      </w:r>
      <w:r>
        <w:t xml:space="preserve"> </w:t>
      </w:r>
      <w:r>
        <w:t xml:space="preserve">to a</w:t>
      </w:r>
      <w:r>
        <w:t xml:space="preserve"> </w:t>
      </w:r>
      <w:r>
        <w:t xml:space="preserve">Future</w:t>
      </w:r>
      <w:r>
        <w:t xml:space="preserve"> </w:t>
      </w:r>
      <w:r>
        <w:t xml:space="preserve">of</w:t>
      </w:r>
      <w:r>
        <w:t xml:space="preserve"> </w:t>
      </w:r>
      <w:r>
        <w:t xml:space="preserve">VPP-tailers</w:t>
      </w:r>
      <w:r>
        <w:t xml:space="preserve">.</w:t>
      </w:r>
      <w:r>
        <w:t xml:space="preserve"> </w:t>
      </w:r>
      <w:r>
        <w:t xml:space="preserve">Institute for Energy Economics and Financial Analysis</w:t>
      </w:r>
      <w:r>
        <w:t xml:space="preserve">.</w:t>
      </w:r>
    </w:p>
    <w:bookmarkEnd w:id="421"/>
    <w:bookmarkStart w:id="42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422">
        <w:r>
          <w:rPr>
            <w:rStyle w:val="Hyperlink"/>
          </w:rPr>
          <w:t xml:space="preserve">https://doi.org/10.2172/1046269</w:t>
        </w:r>
      </w:hyperlink>
    </w:p>
    <w:bookmarkEnd w:id="423"/>
    <w:bookmarkStart w:id="425"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424">
        <w:r>
          <w:rPr>
            <w:rStyle w:val="Hyperlink"/>
          </w:rPr>
          <w:t xml:space="preserve">https://doi.org/10.1016/j.rser.2020.110467</w:t>
        </w:r>
      </w:hyperlink>
    </w:p>
    <w:bookmarkEnd w:id="425"/>
    <w:bookmarkStart w:id="42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426">
        <w:r>
          <w:rPr>
            <w:rStyle w:val="Hyperlink"/>
          </w:rPr>
          <w:t xml:space="preserve">https://doi.org/10.1109/mpe.2021.3088959</w:t>
        </w:r>
      </w:hyperlink>
    </w:p>
    <w:bookmarkEnd w:id="427"/>
    <w:bookmarkStart w:id="42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428">
        <w:r>
          <w:rPr>
            <w:rStyle w:val="Hyperlink"/>
          </w:rPr>
          <w:t xml:space="preserve">https://doi.org/10.1109/tpwrs.2014.2321793</w:t>
        </w:r>
      </w:hyperlink>
    </w:p>
    <w:bookmarkEnd w:id="429"/>
    <w:bookmarkStart w:id="43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430">
        <w:r>
          <w:rPr>
            <w:rStyle w:val="Hyperlink"/>
          </w:rPr>
          <w:t xml:space="preserve">https://doi.org/10.1109/tpwrs.2011.2177280</w:t>
        </w:r>
      </w:hyperlink>
    </w:p>
    <w:bookmarkEnd w:id="431"/>
    <w:bookmarkStart w:id="43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432">
        <w:r>
          <w:rPr>
            <w:rStyle w:val="Hyperlink"/>
          </w:rPr>
          <w:t xml:space="preserve">https://doi.org/10.1109/pesgm.2012.6345375</w:t>
        </w:r>
      </w:hyperlink>
    </w:p>
    <w:bookmarkEnd w:id="433"/>
    <w:bookmarkStart w:id="43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434">
        <w:r>
          <w:rPr>
            <w:rStyle w:val="Hyperlink"/>
          </w:rPr>
          <w:t xml:space="preserve">https://doi.org/10.2172/1220243</w:t>
        </w:r>
      </w:hyperlink>
    </w:p>
    <w:bookmarkEnd w:id="435"/>
    <w:bookmarkStart w:id="436"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436"/>
    <w:bookmarkStart w:id="438"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437">
        <w:r>
          <w:rPr>
            <w:rStyle w:val="Hyperlink"/>
          </w:rPr>
          <w:t xml:space="preserve">https://doi.org/10.1109/MPE.2021.3072819</w:t>
        </w:r>
      </w:hyperlink>
    </w:p>
    <w:bookmarkEnd w:id="438"/>
    <w:bookmarkStart w:id="440"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439">
        <w:r>
          <w:rPr>
            <w:rStyle w:val="Hyperlink"/>
          </w:rPr>
          <w:t xml:space="preserve">https://doi.org/10.1016/j.enpol.2020.111739</w:t>
        </w:r>
      </w:hyperlink>
    </w:p>
    <w:bookmarkEnd w:id="440"/>
    <w:bookmarkStart w:id="442"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441">
        <w:r>
          <w:rPr>
            <w:rStyle w:val="Hyperlink"/>
          </w:rPr>
          <w:t xml:space="preserve">https://doi.org/10.1109/pesgm41954.2020.9282169</w:t>
        </w:r>
      </w:hyperlink>
    </w:p>
    <w:bookmarkEnd w:id="442"/>
    <w:bookmarkStart w:id="44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443">
        <w:r>
          <w:rPr>
            <w:rStyle w:val="Hyperlink"/>
          </w:rPr>
          <w:t xml:space="preserve">https://doi.org/10.1016/j.tej.2020.106831</w:t>
        </w:r>
      </w:hyperlink>
    </w:p>
    <w:bookmarkEnd w:id="444"/>
    <w:bookmarkStart w:id="445"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445"/>
    <w:bookmarkStart w:id="447"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446">
        <w:r>
          <w:rPr>
            <w:rStyle w:val="Hyperlink"/>
          </w:rPr>
          <w:t xml:space="preserve">https://doi.org/10.1109/mpe.2020.3043570</w:t>
        </w:r>
      </w:hyperlink>
    </w:p>
    <w:bookmarkEnd w:id="447"/>
    <w:bookmarkStart w:id="44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448">
        <w:r>
          <w:rPr>
            <w:rStyle w:val="Hyperlink"/>
          </w:rPr>
          <w:t xml:space="preserve">https://doi.org/10.1109/mpe.2021.3104075</w:t>
        </w:r>
      </w:hyperlink>
    </w:p>
    <w:bookmarkEnd w:id="449"/>
    <w:bookmarkStart w:id="451" w:name="ref-maysMissingIncentivesFlexibility2021"/>
    <w:p>
      <w:pPr>
        <w:pStyle w:val="Bibliography"/>
      </w:pPr>
      <w:r>
        <w:t xml:space="preserve">Mays, J., 2021. Missing incentives for flexibility in wholesale electricity markets. Energy Policy 149, 112010.</w:t>
      </w:r>
      <w:r>
        <w:t xml:space="preserve"> </w:t>
      </w:r>
      <w:hyperlink r:id="rId450">
        <w:r>
          <w:rPr>
            <w:rStyle w:val="Hyperlink"/>
          </w:rPr>
          <w:t xml:space="preserve">https://doi.org/10.1016/j.enpol.2020.112010</w:t>
        </w:r>
      </w:hyperlink>
    </w:p>
    <w:bookmarkEnd w:id="451"/>
    <w:bookmarkStart w:id="453"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452">
        <w:r>
          <w:rPr>
            <w:rStyle w:val="Hyperlink"/>
          </w:rPr>
          <w:t xml:space="preserve">https://doi.org/10.1016/j.joule.2022.01.004</w:t>
        </w:r>
      </w:hyperlink>
    </w:p>
    <w:bookmarkEnd w:id="453"/>
    <w:bookmarkStart w:id="455"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454">
        <w:r>
          <w:rPr>
            <w:rStyle w:val="Hyperlink"/>
          </w:rPr>
          <w:t xml:space="preserve">https://doi.org/10.1002/wene.399</w:t>
        </w:r>
      </w:hyperlink>
    </w:p>
    <w:bookmarkEnd w:id="455"/>
    <w:bookmarkStart w:id="457"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456">
        <w:r>
          <w:rPr>
            <w:rStyle w:val="Hyperlink"/>
          </w:rPr>
          <w:t xml:space="preserve">https://doi.org/10.23919/pscc.2018.8450880</w:t>
        </w:r>
      </w:hyperlink>
    </w:p>
    <w:bookmarkEnd w:id="457"/>
    <w:bookmarkStart w:id="458" w:name="ref-millerAdvisoryEquipmentLimits2017"/>
    <w:p>
      <w:pPr>
        <w:pStyle w:val="Bibliography"/>
      </w:pPr>
      <w:r>
        <w:t xml:space="preserve">Miller, N., Lew, D., Barnes, S., Ren, W., Reichard, M., Alexander, M., Freeman, L., Achilles, S., Adamiak, M., 2017a. Advisory on</w:t>
      </w:r>
      <w:r>
        <w:t xml:space="preserve"> </w:t>
      </w:r>
      <w:r>
        <w:t xml:space="preserve">Equipment Limits</w:t>
      </w:r>
      <w:r>
        <w:t xml:space="preserve"> </w:t>
      </w:r>
      <w:r>
        <w:t xml:space="preserve">associated with</w:t>
      </w:r>
      <w:r>
        <w:t xml:space="preserve"> </w:t>
      </w:r>
      <w:r>
        <w:t xml:space="preserve">High RoCoF</w:t>
      </w:r>
      <w:r>
        <w:t xml:space="preserve">.</w:t>
      </w:r>
      <w:r>
        <w:t xml:space="preserve"> </w:t>
      </w:r>
      <w:r>
        <w:t xml:space="preserve">GE Energy Consulting</w:t>
      </w:r>
      <w:r>
        <w:t xml:space="preserve">.</w:t>
      </w:r>
    </w:p>
    <w:bookmarkEnd w:id="458"/>
    <w:bookmarkStart w:id="459"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459"/>
    <w:bookmarkStart w:id="461"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460">
        <w:r>
          <w:rPr>
            <w:rStyle w:val="Hyperlink"/>
          </w:rPr>
          <w:t xml:space="preserve">https://doi.org/10.1016/j.tej.2011.10.011</w:t>
        </w:r>
      </w:hyperlink>
    </w:p>
    <w:bookmarkEnd w:id="461"/>
    <w:bookmarkStart w:id="462"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462"/>
    <w:bookmarkStart w:id="464"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463">
        <w:r>
          <w:rPr>
            <w:rStyle w:val="Hyperlink"/>
          </w:rPr>
          <w:t xml:space="preserve">https://doi.org/10.1109/tpwrs.2019.2897727</w:t>
        </w:r>
      </w:hyperlink>
    </w:p>
    <w:bookmarkEnd w:id="464"/>
    <w:bookmarkStart w:id="465" w:name="X924f2cb14b06b22bf527e8a066222b69a4c5b25"/>
    <w:p>
      <w:pPr>
        <w:pStyle w:val="Bibliography"/>
      </w:pPr>
      <w:r>
        <w:t xml:space="preserve">Monitoring Analytics, 2021. 2021</w:t>
      </w:r>
      <w:r>
        <w:t xml:space="preserve"> </w:t>
      </w:r>
      <w:r>
        <w:t xml:space="preserve">Quarterly State</w:t>
      </w:r>
      <w:r>
        <w:t xml:space="preserve"> </w:t>
      </w:r>
      <w:r>
        <w:t xml:space="preserve">of the</w:t>
      </w:r>
      <w:r>
        <w:t xml:space="preserve"> </w:t>
      </w:r>
      <w:r>
        <w:t xml:space="preserve">Market Report</w:t>
      </w:r>
      <w:r>
        <w:t xml:space="preserve"> </w:t>
      </w:r>
      <w:r>
        <w:t xml:space="preserve">for</w:t>
      </w:r>
      <w:r>
        <w:t xml:space="preserve"> </w:t>
      </w:r>
      <w:r>
        <w:t xml:space="preserve">PJM</w:t>
      </w:r>
      <w:r>
        <w:t xml:space="preserve">:</w:t>
      </w:r>
      <w:r>
        <w:t xml:space="preserve"> </w:t>
      </w:r>
      <w:r>
        <w:t xml:space="preserve">January</w:t>
      </w:r>
      <w:r>
        <w:t xml:space="preserve"> </w:t>
      </w:r>
      <w:r>
        <w:t xml:space="preserve">through</w:t>
      </w:r>
      <w:r>
        <w:t xml:space="preserve"> </w:t>
      </w:r>
      <w:r>
        <w:t xml:space="preserve">June</w:t>
      </w:r>
      <w:r>
        <w:t xml:space="preserve"> </w:t>
      </w:r>
      <w:r>
        <w:t xml:space="preserve">-</w:t>
      </w:r>
      <w:r>
        <w:t xml:space="preserve"> </w:t>
      </w:r>
      <w:r>
        <w:t xml:space="preserve">Section</w:t>
      </w:r>
      <w:r>
        <w:t xml:space="preserve"> </w:t>
      </w:r>
      <w:r>
        <w:t xml:space="preserve">10:</w:t>
      </w:r>
      <w:r>
        <w:t xml:space="preserve"> </w:t>
      </w:r>
      <w:r>
        <w:t xml:space="preserve">Ancillary Services</w:t>
      </w:r>
      <w:r>
        <w:t xml:space="preserve">.</w:t>
      </w:r>
    </w:p>
    <w:bookmarkEnd w:id="465"/>
    <w:bookmarkStart w:id="467"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466">
        <w:r>
          <w:rPr>
            <w:rStyle w:val="Hyperlink"/>
          </w:rPr>
          <w:t xml:space="preserve">https://doi.org/10.1016/j.ijepes.2013.09.020</w:t>
        </w:r>
      </w:hyperlink>
    </w:p>
    <w:bookmarkEnd w:id="467"/>
    <w:bookmarkStart w:id="468"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468"/>
    <w:bookmarkStart w:id="469" w:name="ref-nemocommitteeSingleIntradayCoupling"/>
    <w:p>
      <w:pPr>
        <w:pStyle w:val="Bibliography"/>
      </w:pPr>
      <w:r>
        <w:t xml:space="preserve">NEMO Committee, n.d.</w:t>
      </w:r>
      <w:r>
        <w:t xml:space="preserve"> </w:t>
      </w:r>
      <w:r>
        <w:t xml:space="preserve">Single Intraday Coupling (SIDC)</w:t>
      </w:r>
      <w:r>
        <w:t xml:space="preserve">.</w:t>
      </w:r>
    </w:p>
    <w:bookmarkEnd w:id="469"/>
    <w:bookmarkStart w:id="47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470"/>
    <w:bookmarkStart w:id="471" w:name="X2d2088817746795390ef3fc2d6e57d520a5b77f"/>
    <w:p>
      <w:pPr>
        <w:pStyle w:val="Bibliography"/>
      </w:pPr>
      <w:r>
        <w:t xml:space="preserve">North American Electric Reliability Corporation, 2022. 2022</w:t>
      </w:r>
      <w:r>
        <w:t xml:space="preserve"> </w:t>
      </w:r>
      <w:r>
        <w:t xml:space="preserve">Summer Reliability Assessment</w:t>
      </w:r>
      <w:r>
        <w:t xml:space="preserve">.</w:t>
      </w:r>
    </w:p>
    <w:bookmarkEnd w:id="471"/>
    <w:bookmarkStart w:id="473"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472">
        <w:r>
          <w:rPr>
            <w:rStyle w:val="Hyperlink"/>
          </w:rPr>
          <w:t xml:space="preserve">https://doi.org/10.1109/tste.2015.2410760</w:t>
        </w:r>
      </w:hyperlink>
    </w:p>
    <w:bookmarkEnd w:id="473"/>
    <w:bookmarkStart w:id="475"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474">
        <w:r>
          <w:rPr>
            <w:rStyle w:val="Hyperlink"/>
          </w:rPr>
          <w:t xml:space="preserve">https://doi.org/10.1109/eem.2016.7521193</w:t>
        </w:r>
      </w:hyperlink>
    </w:p>
    <w:bookmarkEnd w:id="475"/>
    <w:bookmarkStart w:id="477"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476">
        <w:r>
          <w:rPr>
            <w:rStyle w:val="Hyperlink"/>
          </w:rPr>
          <w:t xml:space="preserve">https://doi.org/10.1016/j.rser.2016.09.040</w:t>
        </w:r>
      </w:hyperlink>
    </w:p>
    <w:bookmarkEnd w:id="477"/>
    <w:bookmarkStart w:id="479"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478">
        <w:r>
          <w:rPr>
            <w:rStyle w:val="Hyperlink"/>
          </w:rPr>
          <w:t xml:space="preserve">https://doi.org/10.1016/j.eneco.2018.05.003</w:t>
        </w:r>
      </w:hyperlink>
    </w:p>
    <w:bookmarkEnd w:id="479"/>
    <w:bookmarkStart w:id="481"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480">
        <w:r>
          <w:rPr>
            <w:rStyle w:val="Hyperlink"/>
          </w:rPr>
          <w:t xml:space="preserve">https://doi.org/10.1109/pmaps47429.2020.9183585</w:t>
        </w:r>
      </w:hyperlink>
    </w:p>
    <w:bookmarkEnd w:id="481"/>
    <w:bookmarkStart w:id="483"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482">
        <w:r>
          <w:rPr>
            <w:rStyle w:val="Hyperlink"/>
          </w:rPr>
          <w:t xml:space="preserve">https://doi.org/10.1016/j.tej.2018.05.012</w:t>
        </w:r>
      </w:hyperlink>
    </w:p>
    <w:bookmarkEnd w:id="483"/>
    <w:bookmarkStart w:id="485"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484">
        <w:r>
          <w:rPr>
            <w:rStyle w:val="Hyperlink"/>
          </w:rPr>
          <w:t xml:space="preserve">https://doi.org/10.1109/TPWRS.2013.2293127</w:t>
        </w:r>
      </w:hyperlink>
    </w:p>
    <w:bookmarkEnd w:id="485"/>
    <w:bookmarkStart w:id="487"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486">
        <w:r>
          <w:rPr>
            <w:rStyle w:val="Hyperlink"/>
          </w:rPr>
          <w:t xml:space="preserve">https://doi.org/10.1016/j.renene.2018.04.094</w:t>
        </w:r>
      </w:hyperlink>
    </w:p>
    <w:bookmarkEnd w:id="487"/>
    <w:bookmarkStart w:id="489"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488">
        <w:r>
          <w:rPr>
            <w:rStyle w:val="Hyperlink"/>
          </w:rPr>
          <w:t xml:space="preserve">https://doi.org/10.1016/j.tej.2020.106863</w:t>
        </w:r>
      </w:hyperlink>
    </w:p>
    <w:bookmarkEnd w:id="489"/>
    <w:bookmarkStart w:id="490"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WattClarity.</w:t>
      </w:r>
    </w:p>
    <w:bookmarkEnd w:id="490"/>
    <w:bookmarkStart w:id="491"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491"/>
    <w:bookmarkStart w:id="493"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492">
        <w:r>
          <w:rPr>
            <w:rStyle w:val="Hyperlink"/>
          </w:rPr>
          <w:t xml:space="preserve">https://doi.org/10.1016/j.enpol.2018.11.009</w:t>
        </w:r>
      </w:hyperlink>
    </w:p>
    <w:bookmarkEnd w:id="493"/>
    <w:bookmarkStart w:id="495" w:name="ref-prakashNEMSEER2022"/>
    <w:p>
      <w:pPr>
        <w:pStyle w:val="Bibliography"/>
      </w:pPr>
      <w:r>
        <w:t xml:space="preserve">Prakash, A., 2022.</w:t>
      </w:r>
      <w:r>
        <w:t xml:space="preserve"> </w:t>
      </w:r>
      <w:r>
        <w:t xml:space="preserve">NEMSEER</w:t>
      </w:r>
      <w:r>
        <w:t xml:space="preserve">.</w:t>
      </w:r>
      <w:r>
        <w:t xml:space="preserve"> </w:t>
      </w:r>
      <w:hyperlink r:id="rId494">
        <w:r>
          <w:rPr>
            <w:rStyle w:val="Hyperlink"/>
          </w:rPr>
          <w:t xml:space="preserve">https://doi.org/10.5281/zenodo.7397527</w:t>
        </w:r>
      </w:hyperlink>
    </w:p>
    <w:bookmarkEnd w:id="495"/>
    <w:bookmarkStart w:id="497"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496">
        <w:r>
          <w:rPr>
            <w:rStyle w:val="Hyperlink"/>
          </w:rPr>
          <w:t xml:space="preserve">https://doi.org/10.1016/j.rser.2022.112303</w:t>
        </w:r>
      </w:hyperlink>
    </w:p>
    <w:bookmarkEnd w:id="497"/>
    <w:bookmarkStart w:id="499"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498">
        <w:r>
          <w:rPr>
            <w:rStyle w:val="Hyperlink"/>
          </w:rPr>
          <w:t xml:space="preserve">https://doi.org/10.13140/RG.2.2.11620.50560</w:t>
        </w:r>
      </w:hyperlink>
    </w:p>
    <w:bookmarkEnd w:id="499"/>
    <w:bookmarkStart w:id="501"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500">
        <w:r>
          <w:rPr>
            <w:rStyle w:val="Hyperlink"/>
          </w:rPr>
          <w:t xml:space="preserve">https://doi.org/10.1109/tpwrs.2006.888965</w:t>
        </w:r>
      </w:hyperlink>
    </w:p>
    <w:bookmarkEnd w:id="501"/>
    <w:bookmarkStart w:id="503"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502">
        <w:r>
          <w:rPr>
            <w:rStyle w:val="Hyperlink"/>
          </w:rPr>
          <w:t xml:space="preserve">https://doi.org/10.1109/tpwrs.2006.888963</w:t>
        </w:r>
      </w:hyperlink>
    </w:p>
    <w:bookmarkEnd w:id="503"/>
    <w:bookmarkStart w:id="505"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504">
        <w:r>
          <w:rPr>
            <w:rStyle w:val="Hyperlink"/>
          </w:rPr>
          <w:t xml:space="preserve">https://doi.org/10.1016/j.tej.2007.06.003</w:t>
        </w:r>
      </w:hyperlink>
    </w:p>
    <w:bookmarkEnd w:id="505"/>
    <w:bookmarkStart w:id="506" w:name="X89f15ff5920cde4fed5687ce100c6aeeedd900c"/>
    <w:p>
      <w:pPr>
        <w:pStyle w:val="Bibliography"/>
      </w:pPr>
      <w:r>
        <w:t xml:space="preserve">Redefining Resource Adequacy Task Force, 2021. Redefining</w:t>
      </w:r>
      <w:r>
        <w:t xml:space="preserve"> </w:t>
      </w:r>
      <w:r>
        <w:t xml:space="preserve">Resource Adequacy</w:t>
      </w:r>
      <w:r>
        <w:t xml:space="preserve"> </w:t>
      </w:r>
      <w:r>
        <w:t xml:space="preserve">for</w:t>
      </w:r>
      <w:r>
        <w:t xml:space="preserve"> </w:t>
      </w:r>
      <w:r>
        <w:t xml:space="preserve">Modern Power Systems</w:t>
      </w:r>
      <w:r>
        <w:t xml:space="preserve">.</w:t>
      </w:r>
      <w:r>
        <w:t xml:space="preserve"> </w:t>
      </w:r>
      <w:r>
        <w:t xml:space="preserve">Energy Systems Integration Group</w:t>
      </w:r>
      <w:r>
        <w:t xml:space="preserve">,</w:t>
      </w:r>
      <w:r>
        <w:t xml:space="preserve"> </w:t>
      </w:r>
      <w:r>
        <w:t xml:space="preserve">Reston, VA</w:t>
      </w:r>
      <w:r>
        <w:t xml:space="preserve">.</w:t>
      </w:r>
    </w:p>
    <w:bookmarkEnd w:id="506"/>
    <w:bookmarkStart w:id="507"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507"/>
    <w:bookmarkStart w:id="508" w:name="X7bf77d71136be2ef42a3439ae3ea29b9ec6613b"/>
    <w:p>
      <w:pPr>
        <w:pStyle w:val="Bibliography"/>
      </w:pPr>
      <w:r>
        <w:t xml:space="preserve">Renewable Energy Hub, 2021. Renewable</w:t>
      </w:r>
      <w:r>
        <w:t xml:space="preserve"> </w:t>
      </w:r>
      <w:r>
        <w:t xml:space="preserve">Energy Hub</w:t>
      </w:r>
      <w:r>
        <w:t xml:space="preserve">:</w:t>
      </w:r>
      <w:r>
        <w:t xml:space="preserve"> </w:t>
      </w:r>
      <w:r>
        <w:t xml:space="preserve">Final Knowledge Sharing Report</w:t>
      </w:r>
      <w:r>
        <w:t xml:space="preserve">.</w:t>
      </w:r>
    </w:p>
    <w:bookmarkEnd w:id="508"/>
    <w:bookmarkStart w:id="510"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509">
        <w:r>
          <w:rPr>
            <w:rStyle w:val="Hyperlink"/>
          </w:rPr>
          <w:t xml:space="preserve">https://doi.org/10.5547/2160-5890.5.1.jrie</w:t>
        </w:r>
      </w:hyperlink>
    </w:p>
    <w:bookmarkEnd w:id="510"/>
    <w:bookmarkStart w:id="512"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511">
        <w:r>
          <w:rPr>
            <w:rStyle w:val="Hyperlink"/>
          </w:rPr>
          <w:t xml:space="preserve">https://doi.org/10.1016/j.tej.2015.03.006</w:t>
        </w:r>
      </w:hyperlink>
    </w:p>
    <w:bookmarkEnd w:id="512"/>
    <w:bookmarkStart w:id="514"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513">
        <w:r>
          <w:rPr>
            <w:rStyle w:val="Hyperlink"/>
          </w:rPr>
          <w:t xml:space="preserve">https://doi.org/10.1002/wene.137</w:t>
        </w:r>
      </w:hyperlink>
    </w:p>
    <w:bookmarkEnd w:id="514"/>
    <w:bookmarkStart w:id="515" w:name="ref-robertsReviewInternationalGrid2018"/>
    <w:p>
      <w:pPr>
        <w:pStyle w:val="Bibliography"/>
      </w:pPr>
      <w:r>
        <w:t xml:space="preserve">Roberts, C., 2018. Review of</w:t>
      </w:r>
      <w:r>
        <w:t xml:space="preserve"> </w:t>
      </w:r>
      <w:r>
        <w:t xml:space="preserve">International Grid Codes</w:t>
      </w:r>
      <w:r>
        <w:t xml:space="preserve">.</w:t>
      </w:r>
    </w:p>
    <w:bookmarkEnd w:id="515"/>
    <w:bookmarkStart w:id="516" w:name="ref-robertsVPPUserResearch2020"/>
    <w:p>
      <w:pPr>
        <w:pStyle w:val="Bibliography"/>
      </w:pPr>
      <w:r>
        <w:t xml:space="preserve">Roberts, M., Adams, S., Kuch, D., 2020.</w:t>
      </w:r>
      <w:r>
        <w:t xml:space="preserve"> </w:t>
      </w:r>
      <w:r>
        <w:t xml:space="preserve">VPP User Research Final Report</w:t>
      </w:r>
      <w:r>
        <w:t xml:space="preserve">.</w:t>
      </w:r>
      <w:r>
        <w:t xml:space="preserve"> </w:t>
      </w:r>
      <w:r>
        <w:t xml:space="preserve">Solar Analytics, UNSW Sydney, UsersTCP</w:t>
      </w:r>
      <w:r>
        <w:t xml:space="preserve">.</w:t>
      </w:r>
    </w:p>
    <w:bookmarkEnd w:id="516"/>
    <w:bookmarkStart w:id="517"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517"/>
    <w:bookmarkStart w:id="519"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518">
        <w:r>
          <w:rPr>
            <w:rStyle w:val="Hyperlink"/>
          </w:rPr>
          <w:t xml:space="preserve">https://doi.org/10.1016/j.jup.2008.01.008</w:t>
        </w:r>
      </w:hyperlink>
    </w:p>
    <w:bookmarkEnd w:id="519"/>
    <w:bookmarkStart w:id="52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520">
        <w:r>
          <w:rPr>
            <w:rStyle w:val="Hyperlink"/>
          </w:rPr>
          <w:t xml:space="preserve">https://doi.org/10.1109/hicss.2014.304</w:t>
        </w:r>
      </w:hyperlink>
    </w:p>
    <w:bookmarkEnd w:id="521"/>
    <w:bookmarkStart w:id="52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w:t>
      </w:r>
      <w:r>
        <w:t xml:space="preserve">(PhD thesis). ETH Zurich.</w:t>
      </w:r>
      <w:r>
        <w:t xml:space="preserve"> </w:t>
      </w:r>
      <w:hyperlink r:id="rId522">
        <w:r>
          <w:rPr>
            <w:rStyle w:val="Hyperlink"/>
          </w:rPr>
          <w:t xml:space="preserve">https://doi.org/10.3929/ethz-a-010692129</w:t>
        </w:r>
      </w:hyperlink>
    </w:p>
    <w:bookmarkEnd w:id="523"/>
    <w:bookmarkStart w:id="52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524">
        <w:r>
          <w:rPr>
            <w:rStyle w:val="Hyperlink"/>
          </w:rPr>
          <w:t xml:space="preserve">https://doi.org/10.1016/j.enpol.2013.07.030</w:t>
        </w:r>
      </w:hyperlink>
    </w:p>
    <w:bookmarkEnd w:id="525"/>
    <w:bookmarkStart w:id="526"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526"/>
    <w:bookmarkStart w:id="528"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527">
        <w:r>
          <w:rPr>
            <w:rStyle w:val="Hyperlink"/>
          </w:rPr>
          <w:t xml:space="preserve">https://doi.org/10.1016/j.rser.2022.112228</w:t>
        </w:r>
      </w:hyperlink>
    </w:p>
    <w:bookmarkEnd w:id="528"/>
    <w:bookmarkStart w:id="52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529"/>
    <w:bookmarkStart w:id="53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530">
        <w:r>
          <w:rPr>
            <w:rStyle w:val="Hyperlink"/>
          </w:rPr>
          <w:t xml:space="preserve">https://doi.org/10.1016/j.tej.2020.106837</w:t>
        </w:r>
      </w:hyperlink>
    </w:p>
    <w:bookmarkEnd w:id="531"/>
    <w:bookmarkStart w:id="53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532">
        <w:r>
          <w:rPr>
            <w:rStyle w:val="Hyperlink"/>
          </w:rPr>
          <w:t xml:space="preserve">https://doi.org/10.1109/mpe.2021.3104076</w:t>
        </w:r>
      </w:hyperlink>
    </w:p>
    <w:bookmarkEnd w:id="533"/>
    <w:bookmarkStart w:id="53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534">
        <w:r>
          <w:rPr>
            <w:rStyle w:val="Hyperlink"/>
          </w:rPr>
          <w:t xml:space="preserve">https://doi.org/10.1109/mpe.2020.3014720</w:t>
        </w:r>
      </w:hyperlink>
    </w:p>
    <w:bookmarkEnd w:id="535"/>
    <w:bookmarkStart w:id="537"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536">
        <w:r>
          <w:rPr>
            <w:rStyle w:val="Hyperlink"/>
          </w:rPr>
          <w:t xml:space="preserve">https://doi.org/10.1016/j.tej.2021.106934</w:t>
        </w:r>
      </w:hyperlink>
    </w:p>
    <w:bookmarkEnd w:id="537"/>
    <w:bookmarkStart w:id="53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538">
        <w:r>
          <w:rPr>
            <w:rStyle w:val="Hyperlink"/>
          </w:rPr>
          <w:t xml:space="preserve">https://doi.org/10.1109/pes.2007.385855</w:t>
        </w:r>
      </w:hyperlink>
    </w:p>
    <w:bookmarkEnd w:id="539"/>
    <w:bookmarkStart w:id="54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540">
        <w:r>
          <w:rPr>
            <w:rStyle w:val="Hyperlink"/>
          </w:rPr>
          <w:t xml:space="preserve">https://doi.org/10.1260/030952408784305868</w:t>
        </w:r>
      </w:hyperlink>
    </w:p>
    <w:bookmarkEnd w:id="541"/>
    <w:bookmarkStart w:id="543" w:name="ref-tielensRelevanceInertiaPower2016"/>
    <w:p>
      <w:pPr>
        <w:pStyle w:val="Bibliography"/>
      </w:pPr>
      <w:r>
        <w:t xml:space="preserve">Tielens, P., Van Hertem, D., 2016. The relevance of inertia in power systems. Renewable and Sustainable Energy Reviews 55, 999–1009.</w:t>
      </w:r>
      <w:r>
        <w:t xml:space="preserve"> </w:t>
      </w:r>
      <w:hyperlink r:id="rId542">
        <w:r>
          <w:rPr>
            <w:rStyle w:val="Hyperlink"/>
          </w:rPr>
          <w:t xml:space="preserve">https://doi.org/10.1016/j.rser.2015.11.016</w:t>
        </w:r>
      </w:hyperlink>
    </w:p>
    <w:bookmarkEnd w:id="543"/>
    <w:bookmarkStart w:id="545"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544">
        <w:r>
          <w:rPr>
            <w:rStyle w:val="Hyperlink"/>
          </w:rPr>
          <w:t xml:space="preserve">https://doi.org/10.1016/j.ijepes.2015.02.028</w:t>
        </w:r>
      </w:hyperlink>
    </w:p>
    <w:bookmarkEnd w:id="545"/>
    <w:bookmarkStart w:id="547"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546">
        <w:r>
          <w:rPr>
            <w:rStyle w:val="Hyperlink"/>
          </w:rPr>
          <w:t xml:space="preserve">https://doi.org/10.3182/20140824-6-za-1003.02615</w:t>
        </w:r>
      </w:hyperlink>
    </w:p>
    <w:bookmarkEnd w:id="547"/>
    <w:bookmarkStart w:id="54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548">
        <w:r>
          <w:rPr>
            <w:rStyle w:val="Hyperlink"/>
          </w:rPr>
          <w:t xml:space="preserve">https://doi.org/10.1016/j.jup.2016.10.008</w:t>
        </w:r>
      </w:hyperlink>
    </w:p>
    <w:bookmarkEnd w:id="549"/>
    <w:bookmarkStart w:id="55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550">
        <w:r>
          <w:rPr>
            <w:rStyle w:val="Hyperlink"/>
          </w:rPr>
          <w:t xml:space="preserve">https://doi.org/10.1016/j.enpol.2009.07.034</w:t>
        </w:r>
      </w:hyperlink>
    </w:p>
    <w:bookmarkEnd w:id="551"/>
    <w:bookmarkStart w:id="55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552">
        <w:r>
          <w:rPr>
            <w:rStyle w:val="Hyperlink"/>
          </w:rPr>
          <w:t xml:space="preserve">https://doi.org/10.1016/j.apenergy.2017.08.164</w:t>
        </w:r>
      </w:hyperlink>
    </w:p>
    <w:bookmarkEnd w:id="553"/>
    <w:bookmarkStart w:id="555"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554">
        <w:r>
          <w:rPr>
            <w:rStyle w:val="Hyperlink"/>
          </w:rPr>
          <w:t xml:space="preserve">https://doi.org/10.1109/tpwrs.2015.2390038</w:t>
        </w:r>
      </w:hyperlink>
    </w:p>
    <w:bookmarkEnd w:id="555"/>
    <w:bookmarkStart w:id="556"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556"/>
    <w:bookmarkEnd w:id="557"/>
    <w:bookmarkEnd w:id="5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40">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45">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53">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63">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2020h</w:t>
        </w:r>
      </w:hyperlink>
      <w:r>
        <w:t xml:space="preserve">)</w:t>
      </w:r>
      <w:r>
        <w:t xml:space="preserve">.</w:t>
      </w:r>
    </w:p>
  </w:footnote>
  <w:footnote w:id="6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83">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103">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08">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16">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137">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2022b</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149">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153">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154">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w:t>
        </w:r>
      </w:hyperlink>
      <w:r>
        <w:t xml:space="preserve">)</w:t>
      </w:r>
      <w:r>
        <w:t xml:space="preserve">.</w:t>
      </w:r>
    </w:p>
  </w:footnote>
  <w:footnote w:id="156">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172">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2022c</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177">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19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20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49" Target="media/rId49.png" /><Relationship Type="http://schemas.openxmlformats.org/officeDocument/2006/relationships/image" Id="rId69" Target="media/rId69.eps" /><Relationship Type="http://schemas.openxmlformats.org/officeDocument/2006/relationships/image" Id="rId192" Target="media/rId192.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150" Target="media/rId150.png" /><Relationship Type="http://schemas.openxmlformats.org/officeDocument/2006/relationships/image" Id="rId80" Target="media/rId80.eps" /><Relationship Type="http://schemas.openxmlformats.org/officeDocument/2006/relationships/image" Id="rId139" Target="media/rId139.png" /><Relationship Type="http://schemas.openxmlformats.org/officeDocument/2006/relationships/image" Id="rId110" Target="media/rId110.png" /><Relationship Type="http://schemas.openxmlformats.org/officeDocument/2006/relationships/image" Id="rId73" Target="media/rId73.eps" /><Relationship Type="http://schemas.openxmlformats.org/officeDocument/2006/relationships/image" Id="rId143" Target="media/rId143.png" /><Relationship Type="http://schemas.openxmlformats.org/officeDocument/2006/relationships/image" Id="rId57" Target="media/rId57.eps" /><Relationship Type="http://schemas.openxmlformats.org/officeDocument/2006/relationships/hyperlink" Id="rId385" Target="https://doi.org/10.1002/2050-7038.12128" TargetMode="External" /><Relationship Type="http://schemas.openxmlformats.org/officeDocument/2006/relationships/hyperlink" Id="rId513" Target="https://doi.org/10.1002/wene.137" TargetMode="External" /><Relationship Type="http://schemas.openxmlformats.org/officeDocument/2006/relationships/hyperlink" Id="rId454" Target="https://doi.org/10.1002/wene.399" TargetMode="External" /><Relationship Type="http://schemas.openxmlformats.org/officeDocument/2006/relationships/hyperlink" Id="rId335" Target="https://doi.org/10.1007/s11149-021-09430-7" TargetMode="External" /><Relationship Type="http://schemas.openxmlformats.org/officeDocument/2006/relationships/hyperlink" Id="rId552" Target="https://doi.org/10.1016/j.apenergy.2017.08.164" TargetMode="External" /><Relationship Type="http://schemas.openxmlformats.org/officeDocument/2006/relationships/hyperlink" Id="rId387" Target="https://doi.org/10.1016/j.apenergy.2020.115852" TargetMode="External" /><Relationship Type="http://schemas.openxmlformats.org/officeDocument/2006/relationships/hyperlink" Id="rId478" Target="https://doi.org/10.1016/j.eneco.2018.05.003" TargetMode="External" /><Relationship Type="http://schemas.openxmlformats.org/officeDocument/2006/relationships/hyperlink" Id="rId408" Target="https://doi.org/10.1016/j.enpol.2008.06.033" TargetMode="External" /><Relationship Type="http://schemas.openxmlformats.org/officeDocument/2006/relationships/hyperlink" Id="rId550" Target="https://doi.org/10.1016/j.enpol.2009.07.034" TargetMode="External" /><Relationship Type="http://schemas.openxmlformats.org/officeDocument/2006/relationships/hyperlink" Id="rId524" Target="https://doi.org/10.1016/j.enpol.2013.07.030" TargetMode="External" /><Relationship Type="http://schemas.openxmlformats.org/officeDocument/2006/relationships/hyperlink" Id="rId325" Target="https://doi.org/10.1016/j.enpol.2018.01.023" TargetMode="External" /><Relationship Type="http://schemas.openxmlformats.org/officeDocument/2006/relationships/hyperlink" Id="rId319" Target="https://doi.org/10.1016/j.enpol.2018.09.031" TargetMode="External" /><Relationship Type="http://schemas.openxmlformats.org/officeDocument/2006/relationships/hyperlink" Id="rId492" Target="https://doi.org/10.1016/j.enpol.2018.11.009" TargetMode="External" /><Relationship Type="http://schemas.openxmlformats.org/officeDocument/2006/relationships/hyperlink" Id="rId439" Target="https://doi.org/10.1016/j.enpol.2020.111739" TargetMode="External" /><Relationship Type="http://schemas.openxmlformats.org/officeDocument/2006/relationships/hyperlink" Id="rId450" Target="https://doi.org/10.1016/j.enpol.2020.112010" TargetMode="External" /><Relationship Type="http://schemas.openxmlformats.org/officeDocument/2006/relationships/hyperlink" Id="rId370" Target="https://doi.org/10.1016/j.enpol.2021.112443" TargetMode="External" /><Relationship Type="http://schemas.openxmlformats.org/officeDocument/2006/relationships/hyperlink" Id="rId323" Target="https://doi.org/10.1016/j.epsr.2021.107022" TargetMode="External" /><Relationship Type="http://schemas.openxmlformats.org/officeDocument/2006/relationships/hyperlink" Id="rId466" Target="https://doi.org/10.1016/j.ijepes.2013.09.020" TargetMode="External" /><Relationship Type="http://schemas.openxmlformats.org/officeDocument/2006/relationships/hyperlink" Id="rId544" Target="https://doi.org/10.1016/j.ijepes.2015.02.028" TargetMode="External" /><Relationship Type="http://schemas.openxmlformats.org/officeDocument/2006/relationships/hyperlink" Id="rId372" Target="https://doi.org/10.1016/j.joule.2021.03.021" TargetMode="External" /><Relationship Type="http://schemas.openxmlformats.org/officeDocument/2006/relationships/hyperlink" Id="rId452" Target="https://doi.org/10.1016/j.joule.2022.01.004" TargetMode="External" /><Relationship Type="http://schemas.openxmlformats.org/officeDocument/2006/relationships/hyperlink" Id="rId518" Target="https://doi.org/10.1016/j.jup.2008.01.008" TargetMode="External" /><Relationship Type="http://schemas.openxmlformats.org/officeDocument/2006/relationships/hyperlink" Id="rId548" Target="https://doi.org/10.1016/j.jup.2016.10.008" TargetMode="External" /><Relationship Type="http://schemas.openxmlformats.org/officeDocument/2006/relationships/hyperlink" Id="rId486" Target="https://doi.org/10.1016/j.renene.2018.04.094" TargetMode="External" /><Relationship Type="http://schemas.openxmlformats.org/officeDocument/2006/relationships/hyperlink" Id="rId411" Target="https://doi.org/10.1016/j.renene.2020.11.090" TargetMode="External" /><Relationship Type="http://schemas.openxmlformats.org/officeDocument/2006/relationships/hyperlink" Id="rId390" Target="https://doi.org/10.1016/j.rser.2015.04.180" TargetMode="External" /><Relationship Type="http://schemas.openxmlformats.org/officeDocument/2006/relationships/hyperlink" Id="rId542" Target="https://doi.org/10.1016/j.rser.2015.11.016" TargetMode="External" /><Relationship Type="http://schemas.openxmlformats.org/officeDocument/2006/relationships/hyperlink" Id="rId476" Target="https://doi.org/10.1016/j.rser.2016.09.040" TargetMode="External" /><Relationship Type="http://schemas.openxmlformats.org/officeDocument/2006/relationships/hyperlink" Id="rId377" Target="https://doi.org/10.1016/j.rser.2017.05.278" TargetMode="External" /><Relationship Type="http://schemas.openxmlformats.org/officeDocument/2006/relationships/hyperlink" Id="rId301" Target="https://doi.org/10.1016/j.rser.2018.03.085" TargetMode="External" /><Relationship Type="http://schemas.openxmlformats.org/officeDocument/2006/relationships/hyperlink" Id="rId368" Target="https://doi.org/10.1016/j.rser.2019.109662" TargetMode="External" /><Relationship Type="http://schemas.openxmlformats.org/officeDocument/2006/relationships/hyperlink" Id="rId424" Target="https://doi.org/10.1016/j.rser.2020.110467" TargetMode="External" /><Relationship Type="http://schemas.openxmlformats.org/officeDocument/2006/relationships/hyperlink" Id="rId527" Target="https://doi.org/10.1016/j.rser.2022.112228" TargetMode="External" /><Relationship Type="http://schemas.openxmlformats.org/officeDocument/2006/relationships/hyperlink" Id="rId496" Target="https://doi.org/10.1016/j.rser.2022.112303" TargetMode="External" /><Relationship Type="http://schemas.openxmlformats.org/officeDocument/2006/relationships/hyperlink" Id="rId317" Target="https://doi.org/10.1016/j.seta.2021.101286" TargetMode="External" /><Relationship Type="http://schemas.openxmlformats.org/officeDocument/2006/relationships/hyperlink" Id="rId413" Target="https://doi.org/10.1016/j.solener.2020.05.053" TargetMode="External" /><Relationship Type="http://schemas.openxmlformats.org/officeDocument/2006/relationships/hyperlink" Id="rId403" Target="https://doi.org/10.1016/j.tej.2004.03.001" TargetMode="External" /><Relationship Type="http://schemas.openxmlformats.org/officeDocument/2006/relationships/hyperlink" Id="rId504" Target="https://doi.org/10.1016/j.tej.2007.06.003" TargetMode="External" /><Relationship Type="http://schemas.openxmlformats.org/officeDocument/2006/relationships/hyperlink" Id="rId460" Target="https://doi.org/10.1016/j.tej.2011.10.011" TargetMode="External" /><Relationship Type="http://schemas.openxmlformats.org/officeDocument/2006/relationships/hyperlink" Id="rId348" Target="https://doi.org/10.1016/j.tej.2012.04.015" TargetMode="External" /><Relationship Type="http://schemas.openxmlformats.org/officeDocument/2006/relationships/hyperlink" Id="rId511" Target="https://doi.org/10.1016/j.tej.2015.03.006" TargetMode="External" /><Relationship Type="http://schemas.openxmlformats.org/officeDocument/2006/relationships/hyperlink" Id="rId340" Target="https://doi.org/10.1016/j.tej.2016.05.001" TargetMode="External" /><Relationship Type="http://schemas.openxmlformats.org/officeDocument/2006/relationships/hyperlink" Id="rId400" Target="https://doi.org/10.1016/j.tej.2017.01.009" TargetMode="External" /><Relationship Type="http://schemas.openxmlformats.org/officeDocument/2006/relationships/hyperlink" Id="rId482" Target="https://doi.org/10.1016/j.tej.2018.05.012" TargetMode="External" /><Relationship Type="http://schemas.openxmlformats.org/officeDocument/2006/relationships/hyperlink" Id="rId307" Target="https://doi.org/10.1016/j.tej.2019.106668" TargetMode="External" /><Relationship Type="http://schemas.openxmlformats.org/officeDocument/2006/relationships/hyperlink" Id="rId443" Target="https://doi.org/10.1016/j.tej.2020.106831" TargetMode="External" /><Relationship Type="http://schemas.openxmlformats.org/officeDocument/2006/relationships/hyperlink" Id="rId530" Target="https://doi.org/10.1016/j.tej.2020.106837" TargetMode="External" /><Relationship Type="http://schemas.openxmlformats.org/officeDocument/2006/relationships/hyperlink" Id="rId488" Target="https://doi.org/10.1016/j.tej.2020.106863" TargetMode="External" /><Relationship Type="http://schemas.openxmlformats.org/officeDocument/2006/relationships/hyperlink" Id="rId536" Target="https://doi.org/10.1016/j.tej.2021.106934" TargetMode="External" /><Relationship Type="http://schemas.openxmlformats.org/officeDocument/2006/relationships/hyperlink" Id="rId331" Target="https://doi.org/10.1049/iet-gtd.2013.0720" TargetMode="External" /><Relationship Type="http://schemas.openxmlformats.org/officeDocument/2006/relationships/hyperlink" Id="rId358" Target="https://doi.org/10.1049/iet-rpg.2017.0370" TargetMode="External" /><Relationship Type="http://schemas.openxmlformats.org/officeDocument/2006/relationships/hyperlink" Id="rId383" Target="https://doi.org/10.1080/23251042.2016.1155690" TargetMode="External" /><Relationship Type="http://schemas.openxmlformats.org/officeDocument/2006/relationships/hyperlink" Id="rId321" Target="https://doi.org/10.1093/ooenergy/oiab007" TargetMode="External" /><Relationship Type="http://schemas.openxmlformats.org/officeDocument/2006/relationships/hyperlink" Id="rId315" Target="https://doi.org/10.1093/oxrep/grx041" TargetMode="External" /><Relationship Type="http://schemas.openxmlformats.org/officeDocument/2006/relationships/hyperlink" Id="rId417" Target="https://doi.org/10.1109/MPE.2016.2524964" TargetMode="External" /><Relationship Type="http://schemas.openxmlformats.org/officeDocument/2006/relationships/hyperlink" Id="rId437" Target="https://doi.org/10.1109/MPE.2021.3072819" TargetMode="External" /><Relationship Type="http://schemas.openxmlformats.org/officeDocument/2006/relationships/hyperlink" Id="rId333" Target="https://doi.org/10.1109/MPE.2021.3088958" TargetMode="External" /><Relationship Type="http://schemas.openxmlformats.org/officeDocument/2006/relationships/hyperlink" Id="rId484" Target="https://doi.org/10.1109/TPWRS.2013.2293127" TargetMode="External" /><Relationship Type="http://schemas.openxmlformats.org/officeDocument/2006/relationships/hyperlink" Id="rId303" Target="https://doi.org/10.1109/TPWRS.2019.2925557" TargetMode="External" /><Relationship Type="http://schemas.openxmlformats.org/officeDocument/2006/relationships/hyperlink" Id="rId313" Target="https://doi.org/10.1109/TPWRS.2022.3163106" TargetMode="External" /><Relationship Type="http://schemas.openxmlformats.org/officeDocument/2006/relationships/hyperlink" Id="rId474" Target="https://doi.org/10.1109/eem.2016.7521193" TargetMode="External" /><Relationship Type="http://schemas.openxmlformats.org/officeDocument/2006/relationships/hyperlink" Id="rId520" Target="https://doi.org/10.1109/hicss.2014.304" TargetMode="External" /><Relationship Type="http://schemas.openxmlformats.org/officeDocument/2006/relationships/hyperlink" Id="rId310" Target="https://doi.org/10.1109/jproc.2005.857493" TargetMode="External" /><Relationship Type="http://schemas.openxmlformats.org/officeDocument/2006/relationships/hyperlink" Id="rId419" Target="https://doi.org/10.1109/mpe.2016.2637122" TargetMode="External" /><Relationship Type="http://schemas.openxmlformats.org/officeDocument/2006/relationships/hyperlink" Id="rId392" Target="https://doi.org/10.1109/mpe.2018.2871736" TargetMode="External" /><Relationship Type="http://schemas.openxmlformats.org/officeDocument/2006/relationships/hyperlink" Id="rId346" Target="https://doi.org/10.1109/mpe.2019.2933281" TargetMode="External" /><Relationship Type="http://schemas.openxmlformats.org/officeDocument/2006/relationships/hyperlink" Id="rId534" Target="https://doi.org/10.1109/mpe.2020.3014720" TargetMode="External" /><Relationship Type="http://schemas.openxmlformats.org/officeDocument/2006/relationships/hyperlink" Id="rId344" Target="https://doi.org/10.1109/mpe.2020.3033396" TargetMode="External" /><Relationship Type="http://schemas.openxmlformats.org/officeDocument/2006/relationships/hyperlink" Id="rId446" Target="https://doi.org/10.1109/mpe.2020.3043570" TargetMode="External" /><Relationship Type="http://schemas.openxmlformats.org/officeDocument/2006/relationships/hyperlink" Id="rId426" Target="https://doi.org/10.1109/mpe.2021.3088959" TargetMode="External" /><Relationship Type="http://schemas.openxmlformats.org/officeDocument/2006/relationships/hyperlink" Id="rId448" Target="https://doi.org/10.1109/mpe.2021.3104075" TargetMode="External" /><Relationship Type="http://schemas.openxmlformats.org/officeDocument/2006/relationships/hyperlink" Id="rId532" Target="https://doi.org/10.1109/mpe.2021.3104076" TargetMode="External" /><Relationship Type="http://schemas.openxmlformats.org/officeDocument/2006/relationships/hyperlink" Id="rId538" Target="https://doi.org/10.1109/pes.2007.385855" TargetMode="External" /><Relationship Type="http://schemas.openxmlformats.org/officeDocument/2006/relationships/hyperlink" Id="rId338" Target="https://doi.org/10.1109/pesgm.2012.6345361" TargetMode="External" /><Relationship Type="http://schemas.openxmlformats.org/officeDocument/2006/relationships/hyperlink" Id="rId432" Target="https://doi.org/10.1109/pesgm.2012.6345375" TargetMode="External" /><Relationship Type="http://schemas.openxmlformats.org/officeDocument/2006/relationships/hyperlink" Id="rId441" Target="https://doi.org/10.1109/pesgm41954.2020.9282169" TargetMode="External" /><Relationship Type="http://schemas.openxmlformats.org/officeDocument/2006/relationships/hyperlink" Id="rId397" Target="https://doi.org/10.1109/pesmg.2013.6673067" TargetMode="External" /><Relationship Type="http://schemas.openxmlformats.org/officeDocument/2006/relationships/hyperlink" Id="rId480" Target="https://doi.org/10.1109/pmaps47429.2020.9183585" TargetMode="External" /><Relationship Type="http://schemas.openxmlformats.org/officeDocument/2006/relationships/hyperlink" Id="rId502" Target="https://doi.org/10.1109/tpwrs.2006.888963" TargetMode="External" /><Relationship Type="http://schemas.openxmlformats.org/officeDocument/2006/relationships/hyperlink" Id="rId500" Target="https://doi.org/10.1109/tpwrs.2006.888965" TargetMode="External" /><Relationship Type="http://schemas.openxmlformats.org/officeDocument/2006/relationships/hyperlink" Id="rId430" Target="https://doi.org/10.1109/tpwrs.2011.2177280" TargetMode="External" /><Relationship Type="http://schemas.openxmlformats.org/officeDocument/2006/relationships/hyperlink" Id="rId428" Target="https://doi.org/10.1109/tpwrs.2014.2321793" TargetMode="External" /><Relationship Type="http://schemas.openxmlformats.org/officeDocument/2006/relationships/hyperlink" Id="rId554" Target="https://doi.org/10.1109/tpwrs.2015.2390038" TargetMode="External" /><Relationship Type="http://schemas.openxmlformats.org/officeDocument/2006/relationships/hyperlink" Id="rId463" Target="https://doi.org/10.1109/tpwrs.2019.2897727" TargetMode="External" /><Relationship Type="http://schemas.openxmlformats.org/officeDocument/2006/relationships/hyperlink" Id="rId472" Target="https://doi.org/10.1109/tste.2015.2410760" TargetMode="External" /><Relationship Type="http://schemas.openxmlformats.org/officeDocument/2006/relationships/hyperlink" Id="rId540" Target="https://doi.org/10.1260/030952408784305868" TargetMode="External" /><Relationship Type="http://schemas.openxmlformats.org/officeDocument/2006/relationships/hyperlink" Id="rId498" Target="https://doi.org/10.13140/RG.2.2.11620.50560" TargetMode="External" /><Relationship Type="http://schemas.openxmlformats.org/officeDocument/2006/relationships/hyperlink" Id="rId381" Target="https://doi.org/10.17775/cseejpes.2019.00230" TargetMode="External" /><Relationship Type="http://schemas.openxmlformats.org/officeDocument/2006/relationships/hyperlink" Id="rId211" Target="https://doi.org/10.2139/ssrn.3302569" TargetMode="External" /><Relationship Type="http://schemas.openxmlformats.org/officeDocument/2006/relationships/hyperlink" Id="rId342" Target="https://doi.org/10.2172/1023095" TargetMode="External" /><Relationship Type="http://schemas.openxmlformats.org/officeDocument/2006/relationships/hyperlink" Id="rId422" Target="https://doi.org/10.2172/1046269" TargetMode="External" /><Relationship Type="http://schemas.openxmlformats.org/officeDocument/2006/relationships/hyperlink" Id="rId434" Target="https://doi.org/10.2172/1220243" TargetMode="External" /><Relationship Type="http://schemas.openxmlformats.org/officeDocument/2006/relationships/hyperlink" Id="rId456" Target="https://doi.org/10.23919/pscc.2018.8450880" TargetMode="External" /><Relationship Type="http://schemas.openxmlformats.org/officeDocument/2006/relationships/hyperlink" Id="rId305" Target="https://doi.org/10.26889/9781784671600" TargetMode="External" /><Relationship Type="http://schemas.openxmlformats.org/officeDocument/2006/relationships/hyperlink" Id="rId546" Target="https://doi.org/10.3182/20140824-6-za-1003.02615" TargetMode="External" /><Relationship Type="http://schemas.openxmlformats.org/officeDocument/2006/relationships/hyperlink" Id="rId522" Target="https://doi.org/10.3929/ethz-a-010692129" TargetMode="External" /><Relationship Type="http://schemas.openxmlformats.org/officeDocument/2006/relationships/hyperlink" Id="rId494" Target="https://doi.org/10.5281/zenodo.7397527" TargetMode="External" /><Relationship Type="http://schemas.openxmlformats.org/officeDocument/2006/relationships/hyperlink" Id="rId394" Target="https://doi.org/10.5547/2160-5890.2.2.4" TargetMode="External" /><Relationship Type="http://schemas.openxmlformats.org/officeDocument/2006/relationships/hyperlink" Id="rId509" Target="https://doi.org/10.5547/2160-5890.5.1.jrie" TargetMode="External" /></Relationships>
</file>

<file path=word/_rels/footnotes.xml.rels><?xml version="1.0" encoding="UTF-8"?><Relationships xmlns="http://schemas.openxmlformats.org/package/2006/relationships"><Relationship Type="http://schemas.openxmlformats.org/officeDocument/2006/relationships/hyperlink" Id="rId385" Target="https://doi.org/10.1002/2050-7038.12128" TargetMode="External" /><Relationship Type="http://schemas.openxmlformats.org/officeDocument/2006/relationships/hyperlink" Id="rId513" Target="https://doi.org/10.1002/wene.137" TargetMode="External" /><Relationship Type="http://schemas.openxmlformats.org/officeDocument/2006/relationships/hyperlink" Id="rId454" Target="https://doi.org/10.1002/wene.399" TargetMode="External" /><Relationship Type="http://schemas.openxmlformats.org/officeDocument/2006/relationships/hyperlink" Id="rId335" Target="https://doi.org/10.1007/s11149-021-09430-7" TargetMode="External" /><Relationship Type="http://schemas.openxmlformats.org/officeDocument/2006/relationships/hyperlink" Id="rId552" Target="https://doi.org/10.1016/j.apenergy.2017.08.164" TargetMode="External" /><Relationship Type="http://schemas.openxmlformats.org/officeDocument/2006/relationships/hyperlink" Id="rId387" Target="https://doi.org/10.1016/j.apenergy.2020.115852" TargetMode="External" /><Relationship Type="http://schemas.openxmlformats.org/officeDocument/2006/relationships/hyperlink" Id="rId478" Target="https://doi.org/10.1016/j.eneco.2018.05.003" TargetMode="External" /><Relationship Type="http://schemas.openxmlformats.org/officeDocument/2006/relationships/hyperlink" Id="rId408" Target="https://doi.org/10.1016/j.enpol.2008.06.033" TargetMode="External" /><Relationship Type="http://schemas.openxmlformats.org/officeDocument/2006/relationships/hyperlink" Id="rId550" Target="https://doi.org/10.1016/j.enpol.2009.07.034" TargetMode="External" /><Relationship Type="http://schemas.openxmlformats.org/officeDocument/2006/relationships/hyperlink" Id="rId524" Target="https://doi.org/10.1016/j.enpol.2013.07.030" TargetMode="External" /><Relationship Type="http://schemas.openxmlformats.org/officeDocument/2006/relationships/hyperlink" Id="rId325" Target="https://doi.org/10.1016/j.enpol.2018.01.023" TargetMode="External" /><Relationship Type="http://schemas.openxmlformats.org/officeDocument/2006/relationships/hyperlink" Id="rId319" Target="https://doi.org/10.1016/j.enpol.2018.09.031" TargetMode="External" /><Relationship Type="http://schemas.openxmlformats.org/officeDocument/2006/relationships/hyperlink" Id="rId492" Target="https://doi.org/10.1016/j.enpol.2018.11.009" TargetMode="External" /><Relationship Type="http://schemas.openxmlformats.org/officeDocument/2006/relationships/hyperlink" Id="rId439" Target="https://doi.org/10.1016/j.enpol.2020.111739" TargetMode="External" /><Relationship Type="http://schemas.openxmlformats.org/officeDocument/2006/relationships/hyperlink" Id="rId450" Target="https://doi.org/10.1016/j.enpol.2020.112010" TargetMode="External" /><Relationship Type="http://schemas.openxmlformats.org/officeDocument/2006/relationships/hyperlink" Id="rId370" Target="https://doi.org/10.1016/j.enpol.2021.112443" TargetMode="External" /><Relationship Type="http://schemas.openxmlformats.org/officeDocument/2006/relationships/hyperlink" Id="rId323" Target="https://doi.org/10.1016/j.epsr.2021.107022" TargetMode="External" /><Relationship Type="http://schemas.openxmlformats.org/officeDocument/2006/relationships/hyperlink" Id="rId466" Target="https://doi.org/10.1016/j.ijepes.2013.09.020" TargetMode="External" /><Relationship Type="http://schemas.openxmlformats.org/officeDocument/2006/relationships/hyperlink" Id="rId544" Target="https://doi.org/10.1016/j.ijepes.2015.02.028" TargetMode="External" /><Relationship Type="http://schemas.openxmlformats.org/officeDocument/2006/relationships/hyperlink" Id="rId372" Target="https://doi.org/10.1016/j.joule.2021.03.021" TargetMode="External" /><Relationship Type="http://schemas.openxmlformats.org/officeDocument/2006/relationships/hyperlink" Id="rId452" Target="https://doi.org/10.1016/j.joule.2022.01.004" TargetMode="External" /><Relationship Type="http://schemas.openxmlformats.org/officeDocument/2006/relationships/hyperlink" Id="rId518" Target="https://doi.org/10.1016/j.jup.2008.01.008" TargetMode="External" /><Relationship Type="http://schemas.openxmlformats.org/officeDocument/2006/relationships/hyperlink" Id="rId548" Target="https://doi.org/10.1016/j.jup.2016.10.008" TargetMode="External" /><Relationship Type="http://schemas.openxmlformats.org/officeDocument/2006/relationships/hyperlink" Id="rId486" Target="https://doi.org/10.1016/j.renene.2018.04.094" TargetMode="External" /><Relationship Type="http://schemas.openxmlformats.org/officeDocument/2006/relationships/hyperlink" Id="rId411" Target="https://doi.org/10.1016/j.renene.2020.11.090" TargetMode="External" /><Relationship Type="http://schemas.openxmlformats.org/officeDocument/2006/relationships/hyperlink" Id="rId390" Target="https://doi.org/10.1016/j.rser.2015.04.180" TargetMode="External" /><Relationship Type="http://schemas.openxmlformats.org/officeDocument/2006/relationships/hyperlink" Id="rId542" Target="https://doi.org/10.1016/j.rser.2015.11.016" TargetMode="External" /><Relationship Type="http://schemas.openxmlformats.org/officeDocument/2006/relationships/hyperlink" Id="rId476" Target="https://doi.org/10.1016/j.rser.2016.09.040" TargetMode="External" /><Relationship Type="http://schemas.openxmlformats.org/officeDocument/2006/relationships/hyperlink" Id="rId377" Target="https://doi.org/10.1016/j.rser.2017.05.278" TargetMode="External" /><Relationship Type="http://schemas.openxmlformats.org/officeDocument/2006/relationships/hyperlink" Id="rId301" Target="https://doi.org/10.1016/j.rser.2018.03.085" TargetMode="External" /><Relationship Type="http://schemas.openxmlformats.org/officeDocument/2006/relationships/hyperlink" Id="rId368" Target="https://doi.org/10.1016/j.rser.2019.109662" TargetMode="External" /><Relationship Type="http://schemas.openxmlformats.org/officeDocument/2006/relationships/hyperlink" Id="rId424" Target="https://doi.org/10.1016/j.rser.2020.110467" TargetMode="External" /><Relationship Type="http://schemas.openxmlformats.org/officeDocument/2006/relationships/hyperlink" Id="rId527" Target="https://doi.org/10.1016/j.rser.2022.112228" TargetMode="External" /><Relationship Type="http://schemas.openxmlformats.org/officeDocument/2006/relationships/hyperlink" Id="rId496" Target="https://doi.org/10.1016/j.rser.2022.112303" TargetMode="External" /><Relationship Type="http://schemas.openxmlformats.org/officeDocument/2006/relationships/hyperlink" Id="rId317" Target="https://doi.org/10.1016/j.seta.2021.101286" TargetMode="External" /><Relationship Type="http://schemas.openxmlformats.org/officeDocument/2006/relationships/hyperlink" Id="rId413" Target="https://doi.org/10.1016/j.solener.2020.05.053" TargetMode="External" /><Relationship Type="http://schemas.openxmlformats.org/officeDocument/2006/relationships/hyperlink" Id="rId403" Target="https://doi.org/10.1016/j.tej.2004.03.001" TargetMode="External" /><Relationship Type="http://schemas.openxmlformats.org/officeDocument/2006/relationships/hyperlink" Id="rId504" Target="https://doi.org/10.1016/j.tej.2007.06.003" TargetMode="External" /><Relationship Type="http://schemas.openxmlformats.org/officeDocument/2006/relationships/hyperlink" Id="rId460" Target="https://doi.org/10.1016/j.tej.2011.10.011" TargetMode="External" /><Relationship Type="http://schemas.openxmlformats.org/officeDocument/2006/relationships/hyperlink" Id="rId348" Target="https://doi.org/10.1016/j.tej.2012.04.015" TargetMode="External" /><Relationship Type="http://schemas.openxmlformats.org/officeDocument/2006/relationships/hyperlink" Id="rId511" Target="https://doi.org/10.1016/j.tej.2015.03.006" TargetMode="External" /><Relationship Type="http://schemas.openxmlformats.org/officeDocument/2006/relationships/hyperlink" Id="rId340" Target="https://doi.org/10.1016/j.tej.2016.05.001" TargetMode="External" /><Relationship Type="http://schemas.openxmlformats.org/officeDocument/2006/relationships/hyperlink" Id="rId400" Target="https://doi.org/10.1016/j.tej.2017.01.009" TargetMode="External" /><Relationship Type="http://schemas.openxmlformats.org/officeDocument/2006/relationships/hyperlink" Id="rId482" Target="https://doi.org/10.1016/j.tej.2018.05.012" TargetMode="External" /><Relationship Type="http://schemas.openxmlformats.org/officeDocument/2006/relationships/hyperlink" Id="rId307" Target="https://doi.org/10.1016/j.tej.2019.106668" TargetMode="External" /><Relationship Type="http://schemas.openxmlformats.org/officeDocument/2006/relationships/hyperlink" Id="rId443" Target="https://doi.org/10.1016/j.tej.2020.106831" TargetMode="External" /><Relationship Type="http://schemas.openxmlformats.org/officeDocument/2006/relationships/hyperlink" Id="rId530" Target="https://doi.org/10.1016/j.tej.2020.106837" TargetMode="External" /><Relationship Type="http://schemas.openxmlformats.org/officeDocument/2006/relationships/hyperlink" Id="rId488" Target="https://doi.org/10.1016/j.tej.2020.106863" TargetMode="External" /><Relationship Type="http://schemas.openxmlformats.org/officeDocument/2006/relationships/hyperlink" Id="rId536" Target="https://doi.org/10.1016/j.tej.2021.106934" TargetMode="External" /><Relationship Type="http://schemas.openxmlformats.org/officeDocument/2006/relationships/hyperlink" Id="rId331" Target="https://doi.org/10.1049/iet-gtd.2013.0720" TargetMode="External" /><Relationship Type="http://schemas.openxmlformats.org/officeDocument/2006/relationships/hyperlink" Id="rId358" Target="https://doi.org/10.1049/iet-rpg.2017.0370" TargetMode="External" /><Relationship Type="http://schemas.openxmlformats.org/officeDocument/2006/relationships/hyperlink" Id="rId383" Target="https://doi.org/10.1080/23251042.2016.1155690" TargetMode="External" /><Relationship Type="http://schemas.openxmlformats.org/officeDocument/2006/relationships/hyperlink" Id="rId321" Target="https://doi.org/10.1093/ooenergy/oiab007" TargetMode="External" /><Relationship Type="http://schemas.openxmlformats.org/officeDocument/2006/relationships/hyperlink" Id="rId315" Target="https://doi.org/10.1093/oxrep/grx041" TargetMode="External" /><Relationship Type="http://schemas.openxmlformats.org/officeDocument/2006/relationships/hyperlink" Id="rId417" Target="https://doi.org/10.1109/MPE.2016.2524964" TargetMode="External" /><Relationship Type="http://schemas.openxmlformats.org/officeDocument/2006/relationships/hyperlink" Id="rId437" Target="https://doi.org/10.1109/MPE.2021.3072819" TargetMode="External" /><Relationship Type="http://schemas.openxmlformats.org/officeDocument/2006/relationships/hyperlink" Id="rId333" Target="https://doi.org/10.1109/MPE.2021.3088958" TargetMode="External" /><Relationship Type="http://schemas.openxmlformats.org/officeDocument/2006/relationships/hyperlink" Id="rId484" Target="https://doi.org/10.1109/TPWRS.2013.2293127" TargetMode="External" /><Relationship Type="http://schemas.openxmlformats.org/officeDocument/2006/relationships/hyperlink" Id="rId303" Target="https://doi.org/10.1109/TPWRS.2019.2925557" TargetMode="External" /><Relationship Type="http://schemas.openxmlformats.org/officeDocument/2006/relationships/hyperlink" Id="rId313" Target="https://doi.org/10.1109/TPWRS.2022.3163106" TargetMode="External" /><Relationship Type="http://schemas.openxmlformats.org/officeDocument/2006/relationships/hyperlink" Id="rId474" Target="https://doi.org/10.1109/eem.2016.7521193" TargetMode="External" /><Relationship Type="http://schemas.openxmlformats.org/officeDocument/2006/relationships/hyperlink" Id="rId520" Target="https://doi.org/10.1109/hicss.2014.304" TargetMode="External" /><Relationship Type="http://schemas.openxmlformats.org/officeDocument/2006/relationships/hyperlink" Id="rId310" Target="https://doi.org/10.1109/jproc.2005.857493" TargetMode="External" /><Relationship Type="http://schemas.openxmlformats.org/officeDocument/2006/relationships/hyperlink" Id="rId419" Target="https://doi.org/10.1109/mpe.2016.2637122" TargetMode="External" /><Relationship Type="http://schemas.openxmlformats.org/officeDocument/2006/relationships/hyperlink" Id="rId392" Target="https://doi.org/10.1109/mpe.2018.2871736" TargetMode="External" /><Relationship Type="http://schemas.openxmlformats.org/officeDocument/2006/relationships/hyperlink" Id="rId346" Target="https://doi.org/10.1109/mpe.2019.2933281" TargetMode="External" /><Relationship Type="http://schemas.openxmlformats.org/officeDocument/2006/relationships/hyperlink" Id="rId534" Target="https://doi.org/10.1109/mpe.2020.3014720" TargetMode="External" /><Relationship Type="http://schemas.openxmlformats.org/officeDocument/2006/relationships/hyperlink" Id="rId344" Target="https://doi.org/10.1109/mpe.2020.3033396" TargetMode="External" /><Relationship Type="http://schemas.openxmlformats.org/officeDocument/2006/relationships/hyperlink" Id="rId446" Target="https://doi.org/10.1109/mpe.2020.3043570" TargetMode="External" /><Relationship Type="http://schemas.openxmlformats.org/officeDocument/2006/relationships/hyperlink" Id="rId426" Target="https://doi.org/10.1109/mpe.2021.3088959" TargetMode="External" /><Relationship Type="http://schemas.openxmlformats.org/officeDocument/2006/relationships/hyperlink" Id="rId448" Target="https://doi.org/10.1109/mpe.2021.3104075" TargetMode="External" /><Relationship Type="http://schemas.openxmlformats.org/officeDocument/2006/relationships/hyperlink" Id="rId532" Target="https://doi.org/10.1109/mpe.2021.3104076" TargetMode="External" /><Relationship Type="http://schemas.openxmlformats.org/officeDocument/2006/relationships/hyperlink" Id="rId538" Target="https://doi.org/10.1109/pes.2007.385855" TargetMode="External" /><Relationship Type="http://schemas.openxmlformats.org/officeDocument/2006/relationships/hyperlink" Id="rId338" Target="https://doi.org/10.1109/pesgm.2012.6345361" TargetMode="External" /><Relationship Type="http://schemas.openxmlformats.org/officeDocument/2006/relationships/hyperlink" Id="rId432" Target="https://doi.org/10.1109/pesgm.2012.6345375" TargetMode="External" /><Relationship Type="http://schemas.openxmlformats.org/officeDocument/2006/relationships/hyperlink" Id="rId441" Target="https://doi.org/10.1109/pesgm41954.2020.9282169" TargetMode="External" /><Relationship Type="http://schemas.openxmlformats.org/officeDocument/2006/relationships/hyperlink" Id="rId397" Target="https://doi.org/10.1109/pesmg.2013.6673067" TargetMode="External" /><Relationship Type="http://schemas.openxmlformats.org/officeDocument/2006/relationships/hyperlink" Id="rId480" Target="https://doi.org/10.1109/pmaps47429.2020.9183585" TargetMode="External" /><Relationship Type="http://schemas.openxmlformats.org/officeDocument/2006/relationships/hyperlink" Id="rId502" Target="https://doi.org/10.1109/tpwrs.2006.888963" TargetMode="External" /><Relationship Type="http://schemas.openxmlformats.org/officeDocument/2006/relationships/hyperlink" Id="rId500" Target="https://doi.org/10.1109/tpwrs.2006.888965" TargetMode="External" /><Relationship Type="http://schemas.openxmlformats.org/officeDocument/2006/relationships/hyperlink" Id="rId430" Target="https://doi.org/10.1109/tpwrs.2011.2177280" TargetMode="External" /><Relationship Type="http://schemas.openxmlformats.org/officeDocument/2006/relationships/hyperlink" Id="rId428" Target="https://doi.org/10.1109/tpwrs.2014.2321793" TargetMode="External" /><Relationship Type="http://schemas.openxmlformats.org/officeDocument/2006/relationships/hyperlink" Id="rId554" Target="https://doi.org/10.1109/tpwrs.2015.2390038" TargetMode="External" /><Relationship Type="http://schemas.openxmlformats.org/officeDocument/2006/relationships/hyperlink" Id="rId463" Target="https://doi.org/10.1109/tpwrs.2019.2897727" TargetMode="External" /><Relationship Type="http://schemas.openxmlformats.org/officeDocument/2006/relationships/hyperlink" Id="rId472" Target="https://doi.org/10.1109/tste.2015.2410760" TargetMode="External" /><Relationship Type="http://schemas.openxmlformats.org/officeDocument/2006/relationships/hyperlink" Id="rId540" Target="https://doi.org/10.1260/030952408784305868" TargetMode="External" /><Relationship Type="http://schemas.openxmlformats.org/officeDocument/2006/relationships/hyperlink" Id="rId498" Target="https://doi.org/10.13140/RG.2.2.11620.50560" TargetMode="External" /><Relationship Type="http://schemas.openxmlformats.org/officeDocument/2006/relationships/hyperlink" Id="rId381" Target="https://doi.org/10.17775/cseejpes.2019.00230" TargetMode="External" /><Relationship Type="http://schemas.openxmlformats.org/officeDocument/2006/relationships/hyperlink" Id="rId211" Target="https://doi.org/10.2139/ssrn.3302569" TargetMode="External" /><Relationship Type="http://schemas.openxmlformats.org/officeDocument/2006/relationships/hyperlink" Id="rId342" Target="https://doi.org/10.2172/1023095" TargetMode="External" /><Relationship Type="http://schemas.openxmlformats.org/officeDocument/2006/relationships/hyperlink" Id="rId422" Target="https://doi.org/10.2172/1046269" TargetMode="External" /><Relationship Type="http://schemas.openxmlformats.org/officeDocument/2006/relationships/hyperlink" Id="rId434" Target="https://doi.org/10.2172/1220243" TargetMode="External" /><Relationship Type="http://schemas.openxmlformats.org/officeDocument/2006/relationships/hyperlink" Id="rId456" Target="https://doi.org/10.23919/pscc.2018.8450880" TargetMode="External" /><Relationship Type="http://schemas.openxmlformats.org/officeDocument/2006/relationships/hyperlink" Id="rId305" Target="https://doi.org/10.26889/9781784671600" TargetMode="External" /><Relationship Type="http://schemas.openxmlformats.org/officeDocument/2006/relationships/hyperlink" Id="rId546" Target="https://doi.org/10.3182/20140824-6-za-1003.02615" TargetMode="External" /><Relationship Type="http://schemas.openxmlformats.org/officeDocument/2006/relationships/hyperlink" Id="rId522" Target="https://doi.org/10.3929/ethz-a-010692129" TargetMode="External" /><Relationship Type="http://schemas.openxmlformats.org/officeDocument/2006/relationships/hyperlink" Id="rId494" Target="https://doi.org/10.5281/zenodo.7397527" TargetMode="External" /><Relationship Type="http://schemas.openxmlformats.org/officeDocument/2006/relationships/hyperlink" Id="rId394" Target="https://doi.org/10.5547/2160-5890.2.2.4" TargetMode="External" /><Relationship Type="http://schemas.openxmlformats.org/officeDocument/2006/relationships/hyperlink" Id="rId509" Target="https://doi.org/10.5547/2160-5890.5.1.jri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2023-05-01T02:09:58Z</dcterms:created>
  <dcterms:modified xsi:type="dcterms:W3CDTF">2023-05-01T02:09:58Z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May  1,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